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0DCD" w:rsidRPr="00230DCD" w:rsidRDefault="00230DCD" w:rsidP="00230DCD">
      <w:pPr>
        <w:pStyle w:val="berschrift1"/>
        <w:spacing w:after="240"/>
        <w:rPr>
          <w:lang w:val="en-US"/>
        </w:rPr>
      </w:pPr>
      <w:r w:rsidRPr="00230DCD">
        <w:rPr>
          <w:lang w:val="en-US"/>
        </w:rPr>
        <w:t>Summary</w:t>
      </w:r>
    </w:p>
    <w:tbl>
      <w:tblPr>
        <w:tblStyle w:val="EinfacheTabelle2"/>
        <w:tblW w:w="0" w:type="auto"/>
        <w:tblLook w:val="04A0" w:firstRow="1" w:lastRow="0" w:firstColumn="1" w:lastColumn="0" w:noHBand="0" w:noVBand="1"/>
      </w:tblPr>
      <w:tblGrid>
        <w:gridCol w:w="2127"/>
        <w:gridCol w:w="6935"/>
      </w:tblGrid>
      <w:tr w:rsidR="00230DCD" w:rsidRPr="005646DE" w:rsidTr="00230D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 w:rsidRPr="00230DCD">
              <w:rPr>
                <w:lang w:val="en-US"/>
              </w:rPr>
              <w:t>Paper Title</w:t>
            </w:r>
          </w:p>
        </w:tc>
        <w:tc>
          <w:tcPr>
            <w:tcW w:w="6935" w:type="dxa"/>
          </w:tcPr>
          <w:p w:rsidR="00230DCD" w:rsidRPr="00DF0EAA" w:rsidRDefault="00DF0EAA" w:rsidP="00230DC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F0EAA">
              <w:rPr>
                <w:lang w:val="en-US"/>
              </w:rPr>
              <w:t>An exploratory study of the determinants for a successful implementation of open innovation in large multinational enterprises</w:t>
            </w:r>
          </w:p>
        </w:tc>
      </w:tr>
      <w:tr w:rsidR="00230DCD" w:rsidRPr="00230DCD" w:rsidTr="00230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 w:rsidRPr="00230DCD">
              <w:rPr>
                <w:lang w:val="en-US"/>
              </w:rPr>
              <w:t>Paper Author</w:t>
            </w:r>
          </w:p>
        </w:tc>
        <w:tc>
          <w:tcPr>
            <w:tcW w:w="6935" w:type="dxa"/>
          </w:tcPr>
          <w:p w:rsidR="00230DCD" w:rsidRPr="00237BFD" w:rsidRDefault="00DF0EAA" w:rsidP="00230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BASF</w:t>
            </w:r>
            <w:r w:rsidR="00237BFD" w:rsidRPr="00237BFD">
              <w:t xml:space="preserve"> </w:t>
            </w:r>
          </w:p>
        </w:tc>
      </w:tr>
      <w:tr w:rsidR="00230DCD" w:rsidRPr="00230DCD" w:rsidTr="00230D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>
              <w:rPr>
                <w:lang w:val="en-US"/>
              </w:rPr>
              <w:t>Tags</w:t>
            </w:r>
          </w:p>
        </w:tc>
        <w:tc>
          <w:tcPr>
            <w:tcW w:w="6935" w:type="dxa"/>
          </w:tcPr>
          <w:p w:rsidR="00871640" w:rsidRPr="00230DCD" w:rsidRDefault="005646DE" w:rsidP="00230D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 xml:space="preserve">Qualitative Data, BASF, Benchmark, </w:t>
            </w:r>
          </w:p>
        </w:tc>
      </w:tr>
      <w:tr w:rsidR="00230DCD" w:rsidRPr="00230DCD" w:rsidTr="00230D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:rsidR="00230DCD" w:rsidRPr="00230DCD" w:rsidRDefault="00230DCD" w:rsidP="00230DCD">
            <w:pPr>
              <w:rPr>
                <w:lang w:val="en-US"/>
              </w:rPr>
            </w:pPr>
            <w:r>
              <w:rPr>
                <w:lang w:val="en-US"/>
              </w:rPr>
              <w:t>Summary Conductor</w:t>
            </w:r>
          </w:p>
        </w:tc>
        <w:tc>
          <w:tcPr>
            <w:tcW w:w="6935" w:type="dxa"/>
          </w:tcPr>
          <w:p w:rsidR="00230DCD" w:rsidRPr="00230DCD" w:rsidRDefault="00D0283B" w:rsidP="00230D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en-US"/>
              </w:rPr>
            </w:pPr>
            <w:r>
              <w:rPr>
                <w:lang w:val="en-US"/>
              </w:rPr>
              <w:t>Marius Gutzeit</w:t>
            </w:r>
          </w:p>
        </w:tc>
      </w:tr>
    </w:tbl>
    <w:p w:rsidR="00230DCD" w:rsidRDefault="00230DCD" w:rsidP="00230DCD">
      <w:pPr>
        <w:rPr>
          <w:lang w:val="en-US"/>
        </w:rPr>
      </w:pPr>
    </w:p>
    <w:p w:rsidR="00230DCD" w:rsidRDefault="00230DCD" w:rsidP="00230DCD">
      <w:pPr>
        <w:pStyle w:val="berschrift1"/>
        <w:rPr>
          <w:lang w:val="en-US"/>
        </w:rPr>
      </w:pPr>
      <w:r>
        <w:rPr>
          <w:lang w:val="en-US"/>
        </w:rPr>
        <w:t>Key Takeaways</w:t>
      </w:r>
    </w:p>
    <w:p w:rsidR="005646DE" w:rsidRPr="005646DE" w:rsidRDefault="005646DE" w:rsidP="005646DE">
      <w:pPr>
        <w:pStyle w:val="StandardWeb"/>
        <w:numPr>
          <w:ilvl w:val="0"/>
          <w:numId w:val="1"/>
        </w:numPr>
        <w:shd w:val="clear" w:color="auto" w:fill="FFFFFF"/>
        <w:rPr>
          <w:rFonts w:asciiTheme="minorHAnsi" w:hAnsiTheme="minorHAnsi" w:cstheme="minorHAnsi"/>
          <w:lang w:val="en-US"/>
        </w:rPr>
      </w:pPr>
      <w:r w:rsidRPr="005646DE">
        <w:rPr>
          <w:rFonts w:asciiTheme="minorHAnsi" w:hAnsiTheme="minorHAnsi" w:cstheme="minorHAnsi"/>
          <w:bCs/>
          <w:sz w:val="28"/>
          <w:szCs w:val="28"/>
          <w:lang w:val="en-US"/>
        </w:rPr>
        <w:t>Asymmetric OI collaboration Maturity Model (AOICMM</w:t>
      </w:r>
      <w:r w:rsidRPr="005646DE">
        <w:rPr>
          <w:rFonts w:asciiTheme="minorHAnsi" w:hAnsiTheme="minorHAnsi" w:cstheme="minorHAnsi"/>
          <w:sz w:val="28"/>
          <w:szCs w:val="28"/>
          <w:lang w:val="en-US"/>
        </w:rPr>
        <w:t>)</w:t>
      </w:r>
    </w:p>
    <w:p w:rsidR="005646DE" w:rsidRPr="005646DE" w:rsidRDefault="005646DE" w:rsidP="005646DE">
      <w:pPr>
        <w:pStyle w:val="StandardWeb"/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Conditions for OI Collaborations</w:t>
      </w:r>
    </w:p>
    <w:p w:rsidR="005646DE" w:rsidRPr="005646DE" w:rsidRDefault="005646DE" w:rsidP="005646DE">
      <w:pPr>
        <w:pStyle w:val="StandardWeb"/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Asymmetric OI Collaboration Capacity</w:t>
      </w:r>
    </w:p>
    <w:p w:rsidR="005646DE" w:rsidRPr="005646DE" w:rsidRDefault="005646DE" w:rsidP="005646DE">
      <w:pPr>
        <w:pStyle w:val="StandardWeb"/>
        <w:numPr>
          <w:ilvl w:val="1"/>
          <w:numId w:val="1"/>
        </w:numPr>
        <w:shd w:val="clear" w:color="auto" w:fill="FFFFFF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>Instruments for Asymmetric OI Collaborations</w:t>
      </w:r>
    </w:p>
    <w:p w:rsidR="005646DE" w:rsidRPr="005646DE" w:rsidRDefault="005646DE" w:rsidP="00230DCD">
      <w:pPr>
        <w:pStyle w:val="Listenabsatz"/>
        <w:numPr>
          <w:ilvl w:val="0"/>
          <w:numId w:val="1"/>
        </w:numPr>
        <w:rPr>
          <w:sz w:val="28"/>
          <w:lang w:val="en-US"/>
        </w:rPr>
      </w:pPr>
      <w:r w:rsidRPr="005646DE">
        <w:rPr>
          <w:sz w:val="28"/>
          <w:lang w:val="en-US"/>
        </w:rPr>
        <w:t>Challenges@BASF</w:t>
      </w:r>
    </w:p>
    <w:p w:rsidR="00230DCD" w:rsidRDefault="005646DE" w:rsidP="005646DE">
      <w:pPr>
        <w:pStyle w:val="Listenabsatz"/>
        <w:numPr>
          <w:ilvl w:val="1"/>
          <w:numId w:val="1"/>
        </w:numPr>
        <w:rPr>
          <w:sz w:val="28"/>
          <w:lang w:val="en-US"/>
        </w:rPr>
      </w:pPr>
      <w:r w:rsidRPr="005646DE">
        <w:rPr>
          <w:sz w:val="28"/>
          <w:lang w:val="en-US"/>
        </w:rPr>
        <w:t xml:space="preserve"> </w:t>
      </w:r>
      <w:r>
        <w:rPr>
          <w:sz w:val="28"/>
          <w:lang w:val="en-US"/>
        </w:rPr>
        <w:t>Different speed at small companies</w:t>
      </w:r>
    </w:p>
    <w:p w:rsidR="005646DE" w:rsidRDefault="005646DE" w:rsidP="005646DE">
      <w:pPr>
        <w:pStyle w:val="Listenabsatz"/>
        <w:numPr>
          <w:ilvl w:val="1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Strict internal process</w:t>
      </w:r>
    </w:p>
    <w:p w:rsidR="005646DE" w:rsidRDefault="005646DE" w:rsidP="005646DE">
      <w:pPr>
        <w:pStyle w:val="Listenabsatz"/>
        <w:numPr>
          <w:ilvl w:val="1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Lack of trust (With partners and internally)</w:t>
      </w:r>
    </w:p>
    <w:p w:rsidR="005646DE" w:rsidRDefault="005646DE" w:rsidP="005646DE">
      <w:pPr>
        <w:pStyle w:val="Listenabsatz"/>
        <w:numPr>
          <w:ilvl w:val="1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 xml:space="preserve">Attitude of </w:t>
      </w:r>
      <w:r w:rsidRPr="005646DE">
        <w:rPr>
          <w:b/>
          <w:sz w:val="28"/>
          <w:lang w:val="en-US"/>
        </w:rPr>
        <w:t xml:space="preserve">arrogance </w:t>
      </w:r>
      <w:r>
        <w:rPr>
          <w:sz w:val="28"/>
          <w:lang w:val="en-US"/>
        </w:rPr>
        <w:t>in communication (of BASF employees)</w:t>
      </w:r>
    </w:p>
    <w:p w:rsidR="005646DE" w:rsidRDefault="005646DE" w:rsidP="005646DE">
      <w:pPr>
        <w:pStyle w:val="Listenabsatz"/>
        <w:numPr>
          <w:ilvl w:val="1"/>
          <w:numId w:val="1"/>
        </w:numPr>
        <w:rPr>
          <w:sz w:val="28"/>
          <w:lang w:val="en-US"/>
        </w:rPr>
      </w:pPr>
      <w:r w:rsidRPr="005646DE">
        <w:rPr>
          <w:b/>
          <w:sz w:val="28"/>
          <w:lang w:val="en-US"/>
        </w:rPr>
        <w:t xml:space="preserve">Not-invented-here Syndrome </w:t>
      </w:r>
      <w:r>
        <w:rPr>
          <w:sz w:val="28"/>
          <w:lang w:val="en-US"/>
        </w:rPr>
        <w:t>(Competition with internal R&amp;D)</w:t>
      </w:r>
    </w:p>
    <w:p w:rsidR="005646DE" w:rsidRPr="005646DE" w:rsidRDefault="005646DE" w:rsidP="005646DE">
      <w:pPr>
        <w:pStyle w:val="Listenabsatz"/>
        <w:numPr>
          <w:ilvl w:val="1"/>
          <w:numId w:val="1"/>
        </w:numPr>
        <w:rPr>
          <w:b/>
          <w:sz w:val="28"/>
          <w:lang w:val="en-US"/>
        </w:rPr>
      </w:pPr>
      <w:r w:rsidRPr="005646DE">
        <w:rPr>
          <w:b/>
          <w:sz w:val="28"/>
          <w:lang w:val="en-US"/>
        </w:rPr>
        <w:t>Lack of Business Units time to engage in collaborations</w:t>
      </w:r>
    </w:p>
    <w:p w:rsidR="005646DE" w:rsidRDefault="005646DE" w:rsidP="005646DE">
      <w:pPr>
        <w:pStyle w:val="Listenabsatz"/>
        <w:numPr>
          <w:ilvl w:val="1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Lack of willingness of implementation for found solution</w:t>
      </w:r>
    </w:p>
    <w:p w:rsidR="005646DE" w:rsidRDefault="005646DE" w:rsidP="005646DE">
      <w:pPr>
        <w:pStyle w:val="Listenabsatz"/>
        <w:numPr>
          <w:ilvl w:val="1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Lack of early support of early technologies</w:t>
      </w:r>
    </w:p>
    <w:p w:rsidR="005646DE" w:rsidRDefault="00E2005E" w:rsidP="005646DE">
      <w:pPr>
        <w:pStyle w:val="Listenabsatz"/>
        <w:numPr>
          <w:ilvl w:val="1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No clear commu</w:t>
      </w:r>
      <w:r w:rsidR="005646DE">
        <w:rPr>
          <w:sz w:val="28"/>
          <w:lang w:val="en-US"/>
        </w:rPr>
        <w:t xml:space="preserve">nication </w:t>
      </w:r>
      <w:r>
        <w:rPr>
          <w:sz w:val="28"/>
          <w:lang w:val="en-US"/>
        </w:rPr>
        <w:t xml:space="preserve">of tasks </w:t>
      </w:r>
      <w:r>
        <w:rPr>
          <w:sz w:val="28"/>
          <w:lang w:val="en-US"/>
        </w:rPr>
        <w:t>(With partners and internally)</w:t>
      </w:r>
    </w:p>
    <w:p w:rsidR="00E2005E" w:rsidRPr="005646DE" w:rsidRDefault="00E2005E" w:rsidP="005646DE">
      <w:pPr>
        <w:pStyle w:val="Listenabsatz"/>
        <w:numPr>
          <w:ilvl w:val="1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Unilateral share of information (BASF keeps knowledge)</w:t>
      </w:r>
    </w:p>
    <w:p w:rsidR="00230DCD" w:rsidRDefault="00E2005E" w:rsidP="00230DCD">
      <w:pPr>
        <w:pStyle w:val="Listenabsatz"/>
        <w:numPr>
          <w:ilvl w:val="0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Recommendations</w:t>
      </w:r>
    </w:p>
    <w:p w:rsidR="00E2005E" w:rsidRDefault="00E2005E" w:rsidP="00E2005E">
      <w:pPr>
        <w:pStyle w:val="Listenabsatz"/>
        <w:numPr>
          <w:ilvl w:val="1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Easy way to submit projects (SPOC for externals)</w:t>
      </w:r>
    </w:p>
    <w:p w:rsidR="00E2005E" w:rsidRDefault="00E2005E" w:rsidP="00E2005E">
      <w:pPr>
        <w:pStyle w:val="Listenabsatz"/>
        <w:numPr>
          <w:ilvl w:val="1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Access to the right people</w:t>
      </w:r>
    </w:p>
    <w:p w:rsidR="00E2005E" w:rsidRDefault="00E2005E" w:rsidP="00E2005E">
      <w:pPr>
        <w:pStyle w:val="Listenabsatz"/>
        <w:numPr>
          <w:ilvl w:val="1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Challenge sharing</w:t>
      </w:r>
    </w:p>
    <w:p w:rsidR="00230DCD" w:rsidRPr="00E2005E" w:rsidRDefault="00E2005E" w:rsidP="00E2005E">
      <w:pPr>
        <w:pStyle w:val="Listenabsatz"/>
        <w:numPr>
          <w:ilvl w:val="1"/>
          <w:numId w:val="1"/>
        </w:numPr>
        <w:rPr>
          <w:sz w:val="28"/>
          <w:lang w:val="en-US"/>
        </w:rPr>
      </w:pPr>
      <w:r>
        <w:rPr>
          <w:sz w:val="28"/>
          <w:lang w:val="en-US"/>
        </w:rPr>
        <w:t>More New BizDev FTEs</w:t>
      </w:r>
    </w:p>
    <w:p w:rsidR="00230DCD" w:rsidRDefault="00230DCD" w:rsidP="00230DCD">
      <w:pPr>
        <w:rPr>
          <w:lang w:val="en-US"/>
        </w:rPr>
      </w:pPr>
    </w:p>
    <w:p w:rsidR="00230DCD" w:rsidRDefault="00230DCD" w:rsidP="00230DCD">
      <w:pPr>
        <w:pStyle w:val="berschrift1"/>
        <w:rPr>
          <w:lang w:val="en-US"/>
        </w:rPr>
      </w:pPr>
      <w:r>
        <w:rPr>
          <w:lang w:val="en-US"/>
        </w:rPr>
        <w:t>Paper Overview</w:t>
      </w:r>
    </w:p>
    <w:p w:rsidR="00230DCD" w:rsidRPr="00230DCD" w:rsidRDefault="00E2005E" w:rsidP="00230DCD">
      <w:pPr>
        <w:pStyle w:val="Listenabsatz"/>
        <w:numPr>
          <w:ilvl w:val="0"/>
          <w:numId w:val="3"/>
        </w:numPr>
        <w:rPr>
          <w:lang w:val="en-US"/>
        </w:rPr>
      </w:pPr>
      <w:r>
        <w:rPr>
          <w:lang w:val="en-US"/>
        </w:rPr>
        <w:t>Master thesis doing qualitative interviews and translating into quantitative scheme of proposed asymmetric OI model with tree dimensions</w:t>
      </w:r>
      <w:bookmarkStart w:id="0" w:name="_GoBack"/>
      <w:bookmarkEnd w:id="0"/>
    </w:p>
    <w:p w:rsidR="00230DCD" w:rsidRPr="00230DCD" w:rsidRDefault="00230DCD" w:rsidP="00230DCD">
      <w:pPr>
        <w:pStyle w:val="berschrift1"/>
        <w:rPr>
          <w:lang w:val="en-US"/>
        </w:rPr>
      </w:pPr>
    </w:p>
    <w:sectPr w:rsidR="00230DCD" w:rsidRPr="00230DC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7DA6"/>
    <w:multiLevelType w:val="hybridMultilevel"/>
    <w:tmpl w:val="30AC9B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437A7"/>
    <w:multiLevelType w:val="hybridMultilevel"/>
    <w:tmpl w:val="9CE6B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639A8"/>
    <w:multiLevelType w:val="hybridMultilevel"/>
    <w:tmpl w:val="618CA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DCD"/>
    <w:rsid w:val="00230DCD"/>
    <w:rsid w:val="00237BFD"/>
    <w:rsid w:val="00244F27"/>
    <w:rsid w:val="003B035B"/>
    <w:rsid w:val="005646DE"/>
    <w:rsid w:val="0063619B"/>
    <w:rsid w:val="00871640"/>
    <w:rsid w:val="00D0283B"/>
    <w:rsid w:val="00DF0EAA"/>
    <w:rsid w:val="00E2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6279B"/>
  <w15:chartTrackingRefBased/>
  <w15:docId w15:val="{B73DDDAB-F061-49F0-87C4-93545D5E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30DC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30DC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enraster">
    <w:name w:val="Table Grid"/>
    <w:basedOn w:val="NormaleTabelle"/>
    <w:uiPriority w:val="39"/>
    <w:rsid w:val="00230D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2Akzent3">
    <w:name w:val="Grid Table 2 Accent 3"/>
    <w:basedOn w:val="NormaleTabelle"/>
    <w:uiPriority w:val="47"/>
    <w:rsid w:val="00230DC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EinfacheTabelle2">
    <w:name w:val="Plain Table 2"/>
    <w:basedOn w:val="NormaleTabelle"/>
    <w:uiPriority w:val="42"/>
    <w:rsid w:val="00230DC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enabsatz">
    <w:name w:val="List Paragraph"/>
    <w:basedOn w:val="Standard"/>
    <w:uiPriority w:val="34"/>
    <w:qFormat/>
    <w:rsid w:val="00230DC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564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9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2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1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4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2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8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7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4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43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7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7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4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90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71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3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2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8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8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17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4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9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0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2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468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6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5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5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9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0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Schulz</dc:creator>
  <cp:keywords/>
  <dc:description/>
  <cp:lastModifiedBy>Gutzeit Marius</cp:lastModifiedBy>
  <cp:revision>3</cp:revision>
  <dcterms:created xsi:type="dcterms:W3CDTF">2018-11-05T00:00:00Z</dcterms:created>
  <dcterms:modified xsi:type="dcterms:W3CDTF">2018-11-06T22:20:00Z</dcterms:modified>
</cp:coreProperties>
</file>