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CD" w:rsidRPr="00230DCD" w:rsidRDefault="00230DCD" w:rsidP="00230DCD">
      <w:pPr>
        <w:pStyle w:val="berschrift1"/>
        <w:spacing w:after="240"/>
        <w:rPr>
          <w:lang w:val="en-US"/>
        </w:rPr>
      </w:pPr>
      <w:r w:rsidRPr="00230DCD">
        <w:rPr>
          <w:lang w:val="en-US"/>
        </w:rPr>
        <w:t>Summary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230DCD" w:rsidRPr="0073134F" w:rsidTr="0023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Title</w:t>
            </w:r>
          </w:p>
        </w:tc>
        <w:tc>
          <w:tcPr>
            <w:tcW w:w="6935" w:type="dxa"/>
          </w:tcPr>
          <w:p w:rsidR="00230DCD" w:rsidRPr="00230DCD" w:rsidRDefault="0073134F" w:rsidP="00230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73134F">
              <w:rPr>
                <w:b w:val="0"/>
                <w:lang w:val="en-US"/>
              </w:rPr>
              <w:t>Partner Selection for Open Innovation</w:t>
            </w:r>
          </w:p>
        </w:tc>
      </w:tr>
      <w:tr w:rsidR="00230DCD" w:rsidRPr="0073134F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Author</w:t>
            </w:r>
          </w:p>
        </w:tc>
        <w:tc>
          <w:tcPr>
            <w:tcW w:w="6935" w:type="dxa"/>
          </w:tcPr>
          <w:p w:rsidR="00230DCD" w:rsidRPr="00230DCD" w:rsidRDefault="0073134F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3134F">
              <w:rPr>
                <w:lang w:val="en-US"/>
              </w:rPr>
              <w:t xml:space="preserve">Marina Z. </w:t>
            </w:r>
            <w:proofErr w:type="spellStart"/>
            <w:r w:rsidRPr="0073134F">
              <w:rPr>
                <w:lang w:val="en-US"/>
              </w:rPr>
              <w:t>Solesvik</w:t>
            </w:r>
            <w:proofErr w:type="spellEnd"/>
            <w:r>
              <w:rPr>
                <w:lang w:val="en-US"/>
              </w:rPr>
              <w:t>,</w:t>
            </w:r>
            <w:r w:rsidRPr="0073134F">
              <w:rPr>
                <w:lang w:val="en-US"/>
              </w:rPr>
              <w:t xml:space="preserve"> Magnus </w:t>
            </w:r>
            <w:proofErr w:type="spellStart"/>
            <w:r w:rsidRPr="0073134F">
              <w:rPr>
                <w:lang w:val="en-US"/>
              </w:rPr>
              <w:t>Gulbrandsen</w:t>
            </w:r>
            <w:proofErr w:type="spellEnd"/>
          </w:p>
        </w:tc>
      </w:tr>
      <w:tr w:rsidR="00230DCD" w:rsidRPr="0073134F" w:rsidTr="0023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Tags</w:t>
            </w:r>
          </w:p>
        </w:tc>
        <w:tc>
          <w:tcPr>
            <w:tcW w:w="6935" w:type="dxa"/>
          </w:tcPr>
          <w:p w:rsidR="00230DCD" w:rsidRPr="00230DCD" w:rsidRDefault="00230DCD" w:rsidP="00230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Open Innovation</w:t>
            </w:r>
            <w:r w:rsidR="0073134F">
              <w:rPr>
                <w:lang w:val="en-US"/>
              </w:rPr>
              <w:t xml:space="preserve">, Partner Selection, Case Study, </w:t>
            </w:r>
          </w:p>
        </w:tc>
      </w:tr>
      <w:tr w:rsidR="00230DCD" w:rsidRPr="00230DCD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Summary Conductor</w:t>
            </w:r>
          </w:p>
        </w:tc>
        <w:tc>
          <w:tcPr>
            <w:tcW w:w="6935" w:type="dxa"/>
          </w:tcPr>
          <w:p w:rsidR="00230DCD" w:rsidRPr="00230DCD" w:rsidRDefault="00230DCD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30DCD">
              <w:rPr>
                <w:lang w:val="en-US"/>
              </w:rPr>
              <w:t>Hannah Schulz</w:t>
            </w:r>
          </w:p>
        </w:tc>
      </w:tr>
    </w:tbl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Key Takeaways</w:t>
      </w:r>
    </w:p>
    <w:p w:rsidR="003E19B8" w:rsidRDefault="0073134F" w:rsidP="003E19B8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73134F">
        <w:rPr>
          <w:lang w:val="en-US"/>
        </w:rPr>
        <w:t>Focus of this Paper: partner-selection issues for open innovation in the maritime sector of Norway</w:t>
      </w:r>
    </w:p>
    <w:p w:rsidR="003E19B8" w:rsidRPr="003E19B8" w:rsidRDefault="003E19B8" w:rsidP="003E19B8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3E19B8">
        <w:rPr>
          <w:lang w:val="en-US"/>
        </w:rPr>
        <w:t>Research questions:</w:t>
      </w:r>
      <w:r w:rsidRPr="003E19B8">
        <w:rPr>
          <w:lang w:val="en-US"/>
        </w:rPr>
        <w:t xml:space="preserve"> (1) </w:t>
      </w:r>
      <w:r w:rsidRPr="003E19B8">
        <w:rPr>
          <w:lang w:val="en-US"/>
        </w:rPr>
        <w:t>Do firms follow causation or effectuation logic when they form open innovation partnerships?</w:t>
      </w:r>
      <w:r w:rsidRPr="003E19B8">
        <w:rPr>
          <w:lang w:val="en-US"/>
        </w:rPr>
        <w:t xml:space="preserve"> (2) </w:t>
      </w:r>
      <w:r w:rsidRPr="003E19B8">
        <w:rPr>
          <w:lang w:val="en-US"/>
        </w:rPr>
        <w:t>How do firms select partners for open innovation?</w:t>
      </w:r>
    </w:p>
    <w:p w:rsidR="00230DCD" w:rsidRPr="00230DCD" w:rsidRDefault="003C3426" w:rsidP="00230DCD">
      <w:pPr>
        <w:pStyle w:val="Listenabsatz"/>
        <w:numPr>
          <w:ilvl w:val="0"/>
          <w:numId w:val="1"/>
        </w:numPr>
        <w:rPr>
          <w:lang w:val="en-US"/>
        </w:rPr>
      </w:pPr>
      <w:r w:rsidRPr="003C3426">
        <w:rPr>
          <w:lang w:val="en-US"/>
        </w:rPr>
        <w:t>65</w:t>
      </w:r>
      <w:r>
        <w:rPr>
          <w:lang w:val="en-US"/>
        </w:rPr>
        <w:t xml:space="preserve">% </w:t>
      </w:r>
      <w:r w:rsidRPr="003C3426">
        <w:rPr>
          <w:lang w:val="en-US"/>
        </w:rPr>
        <w:t>o</w:t>
      </w:r>
      <w:r>
        <w:rPr>
          <w:lang w:val="en-US"/>
        </w:rPr>
        <w:t>f OI</w:t>
      </w:r>
      <w:r w:rsidRPr="003C3426">
        <w:rPr>
          <w:lang w:val="en-US"/>
        </w:rPr>
        <w:t xml:space="preserve"> projects are carried out with "steady</w:t>
      </w:r>
      <w:r>
        <w:rPr>
          <w:lang w:val="en-US"/>
        </w:rPr>
        <w:t xml:space="preserve"> </w:t>
      </w:r>
      <w:r w:rsidRPr="003C3426">
        <w:rPr>
          <w:lang w:val="en-US"/>
        </w:rPr>
        <w:t>partners"</w:t>
      </w:r>
    </w:p>
    <w:p w:rsidR="0017514F" w:rsidRPr="0017514F" w:rsidRDefault="0017514F" w:rsidP="0017514F">
      <w:pPr>
        <w:pStyle w:val="Listenabsatz"/>
        <w:numPr>
          <w:ilvl w:val="0"/>
          <w:numId w:val="1"/>
        </w:numPr>
        <w:rPr>
          <w:lang w:val="en-US"/>
        </w:rPr>
      </w:pPr>
      <w:r w:rsidRPr="0017514F">
        <w:rPr>
          <w:lang w:val="en-US"/>
        </w:rPr>
        <w:t>The results show that effectuation rather than causation is a suitable approach for OI development under certain circumstances</w:t>
      </w:r>
    </w:p>
    <w:p w:rsidR="00230DCD" w:rsidRPr="0017514F" w:rsidRDefault="0017514F" w:rsidP="0017514F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17514F">
        <w:rPr>
          <w:lang w:val="en-US"/>
        </w:rPr>
        <w:t xml:space="preserve">Case describes a mode of limited openness: Partner selection is based on current trustful </w:t>
      </w:r>
      <w:r w:rsidRPr="0017514F">
        <w:rPr>
          <w:lang w:val="en-US"/>
        </w:rPr>
        <w:t>relationships;</w:t>
      </w:r>
      <w:r w:rsidRPr="0017514F">
        <w:rPr>
          <w:lang w:val="en-US"/>
        </w:rPr>
        <w:t xml:space="preserve"> each partner </w:t>
      </w:r>
      <w:r>
        <w:rPr>
          <w:lang w:val="en-US"/>
        </w:rPr>
        <w:t>can</w:t>
      </w:r>
      <w:r w:rsidRPr="0017514F">
        <w:rPr>
          <w:lang w:val="en-US"/>
        </w:rPr>
        <w:t xml:space="preserve"> bring other trustworthy actors into the partnership</w:t>
      </w:r>
    </w:p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Paper Overview</w:t>
      </w:r>
    </w:p>
    <w:p w:rsidR="00230DCD" w:rsidRPr="0073134F" w:rsidRDefault="0073134F" w:rsidP="0073134F">
      <w:pPr>
        <w:spacing w:after="0"/>
        <w:rPr>
          <w:b/>
          <w:lang w:val="en-US"/>
        </w:rPr>
      </w:pPr>
      <w:r w:rsidRPr="0073134F">
        <w:rPr>
          <w:b/>
          <w:lang w:val="en-US"/>
        </w:rPr>
        <w:t>Abstract &amp; Introduction:</w:t>
      </w:r>
    </w:p>
    <w:p w:rsidR="00230DCD" w:rsidRPr="0017514F" w:rsidRDefault="0073134F" w:rsidP="0017514F">
      <w:pPr>
        <w:pStyle w:val="Listenabsatz"/>
        <w:numPr>
          <w:ilvl w:val="0"/>
          <w:numId w:val="14"/>
        </w:numPr>
        <w:spacing w:after="0"/>
        <w:rPr>
          <w:lang w:val="en-US"/>
        </w:rPr>
      </w:pPr>
      <w:r w:rsidRPr="0017514F">
        <w:rPr>
          <w:lang w:val="en-US"/>
        </w:rPr>
        <w:t>C</w:t>
      </w:r>
      <w:r w:rsidRPr="0017514F">
        <w:rPr>
          <w:lang w:val="en-US"/>
        </w:rPr>
        <w:t>onsider</w:t>
      </w:r>
      <w:r w:rsidR="00EE5B02">
        <w:rPr>
          <w:lang w:val="en-US"/>
        </w:rPr>
        <w:t xml:space="preserve"> </w:t>
      </w:r>
      <w:bookmarkStart w:id="0" w:name="_GoBack"/>
      <w:bookmarkEnd w:id="0"/>
      <w:r w:rsidR="0017514F">
        <w:rPr>
          <w:lang w:val="en-US"/>
        </w:rPr>
        <w:t>OI</w:t>
      </w:r>
      <w:r w:rsidRPr="0017514F">
        <w:rPr>
          <w:lang w:val="en-US"/>
        </w:rPr>
        <w:t xml:space="preserve"> from the perspectives of: </w:t>
      </w:r>
      <w:r w:rsidR="0017514F" w:rsidRPr="0017514F">
        <w:rPr>
          <w:lang w:val="en-US"/>
        </w:rPr>
        <w:t xml:space="preserve">(1) </w:t>
      </w:r>
      <w:r w:rsidRPr="0017514F">
        <w:rPr>
          <w:lang w:val="en-US"/>
        </w:rPr>
        <w:t>C</w:t>
      </w:r>
      <w:r w:rsidRPr="0017514F">
        <w:rPr>
          <w:lang w:val="en-US"/>
        </w:rPr>
        <w:t xml:space="preserve">ausation </w:t>
      </w:r>
      <w:r w:rsidR="0017514F">
        <w:rPr>
          <w:lang w:val="en-US"/>
        </w:rPr>
        <w:t>&amp;</w:t>
      </w:r>
      <w:r w:rsidRPr="0017514F">
        <w:rPr>
          <w:lang w:val="en-US"/>
        </w:rPr>
        <w:t xml:space="preserve"> effectuation</w:t>
      </w:r>
      <w:r w:rsidR="0017514F" w:rsidRPr="0017514F">
        <w:rPr>
          <w:lang w:val="en-US"/>
        </w:rPr>
        <w:t xml:space="preserve"> and (2) </w:t>
      </w:r>
      <w:r w:rsidRPr="0017514F">
        <w:rPr>
          <w:lang w:val="en-US"/>
        </w:rPr>
        <w:t>S</w:t>
      </w:r>
      <w:r w:rsidRPr="0017514F">
        <w:rPr>
          <w:lang w:val="en-US"/>
        </w:rPr>
        <w:t>ocial networking</w:t>
      </w:r>
    </w:p>
    <w:p w:rsidR="0073134F" w:rsidRDefault="0073134F" w:rsidP="0073134F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 w:rsidRPr="0073134F">
        <w:rPr>
          <w:lang w:val="en-US"/>
        </w:rPr>
        <w:t>R</w:t>
      </w:r>
      <w:r w:rsidRPr="0073134F">
        <w:rPr>
          <w:lang w:val="en-US"/>
        </w:rPr>
        <w:t>esults show that the effectuation approach is</w:t>
      </w:r>
      <w:r w:rsidRPr="0073134F">
        <w:rPr>
          <w:lang w:val="en-US"/>
        </w:rPr>
        <w:t xml:space="preserve"> </w:t>
      </w:r>
      <w:r w:rsidRPr="0073134F">
        <w:rPr>
          <w:lang w:val="en-US"/>
        </w:rPr>
        <w:t>preferable to open innovation when</w:t>
      </w:r>
      <w:r>
        <w:rPr>
          <w:lang w:val="en-US"/>
        </w:rPr>
        <w:t>:</w:t>
      </w:r>
    </w:p>
    <w:p w:rsidR="0073134F" w:rsidRPr="0073134F" w:rsidRDefault="0073134F" w:rsidP="0073134F">
      <w:pPr>
        <w:pStyle w:val="Listenabsatz"/>
        <w:numPr>
          <w:ilvl w:val="1"/>
          <w:numId w:val="4"/>
        </w:numPr>
        <w:spacing w:after="0"/>
        <w:rPr>
          <w:lang w:val="en-US"/>
        </w:rPr>
      </w:pPr>
      <w:r w:rsidRPr="0073134F">
        <w:rPr>
          <w:lang w:val="en-US"/>
        </w:rPr>
        <w:t xml:space="preserve">The initiator of </w:t>
      </w:r>
      <w:r>
        <w:rPr>
          <w:lang w:val="en-US"/>
        </w:rPr>
        <w:t>OI</w:t>
      </w:r>
      <w:r w:rsidRPr="0073134F">
        <w:rPr>
          <w:lang w:val="en-US"/>
        </w:rPr>
        <w:t xml:space="preserve"> aims to keep sensitive information inside the closed group</w:t>
      </w:r>
    </w:p>
    <w:p w:rsidR="0073134F" w:rsidRDefault="0073134F" w:rsidP="0073134F">
      <w:pPr>
        <w:pStyle w:val="Listenabsatz"/>
        <w:numPr>
          <w:ilvl w:val="1"/>
          <w:numId w:val="4"/>
        </w:numPr>
        <w:spacing w:after="0"/>
        <w:rPr>
          <w:lang w:val="en-US"/>
        </w:rPr>
      </w:pPr>
      <w:r w:rsidRPr="0073134F">
        <w:rPr>
          <w:lang w:val="en-US"/>
        </w:rPr>
        <w:t>The initiator has established an effective team of representatives from other firms from earlier innovation projects</w:t>
      </w:r>
    </w:p>
    <w:p w:rsidR="0073134F" w:rsidRPr="0073134F" w:rsidRDefault="0073134F" w:rsidP="0073134F">
      <w:pPr>
        <w:pStyle w:val="Listenabsatz"/>
        <w:numPr>
          <w:ilvl w:val="1"/>
          <w:numId w:val="4"/>
        </w:numPr>
        <w:spacing w:after="0"/>
        <w:rPr>
          <w:lang w:val="en-US"/>
        </w:rPr>
      </w:pPr>
      <w:r w:rsidRPr="0073134F">
        <w:rPr>
          <w:lang w:val="en-US"/>
        </w:rPr>
        <w:t>The participants are geographically close</w:t>
      </w:r>
    </w:p>
    <w:p w:rsidR="0073134F" w:rsidRDefault="0073134F" w:rsidP="0073134F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 w:rsidRPr="0073134F">
        <w:rPr>
          <w:lang w:val="en-US"/>
        </w:rPr>
        <w:t xml:space="preserve">OI = </w:t>
      </w:r>
      <w:r w:rsidRPr="0073134F">
        <w:rPr>
          <w:lang w:val="en-US"/>
        </w:rPr>
        <w:t>"</w:t>
      </w:r>
      <w:r w:rsidRPr="0073134F">
        <w:rPr>
          <w:lang w:val="en-US"/>
        </w:rPr>
        <w:t>T</w:t>
      </w:r>
      <w:r w:rsidRPr="0073134F">
        <w:rPr>
          <w:lang w:val="en-US"/>
        </w:rPr>
        <w:t>he use of purposive inflows and</w:t>
      </w:r>
      <w:r w:rsidRPr="0073134F">
        <w:rPr>
          <w:lang w:val="en-US"/>
        </w:rPr>
        <w:t xml:space="preserve"> </w:t>
      </w:r>
      <w:r w:rsidRPr="0073134F">
        <w:rPr>
          <w:lang w:val="en-US"/>
        </w:rPr>
        <w:t>outflows of knowledge to accelerate internal innovation,</w:t>
      </w:r>
      <w:r w:rsidRPr="0073134F">
        <w:rPr>
          <w:lang w:val="en-US"/>
        </w:rPr>
        <w:t xml:space="preserve"> </w:t>
      </w:r>
      <w:r w:rsidRPr="0073134F">
        <w:rPr>
          <w:lang w:val="en-US"/>
        </w:rPr>
        <w:t>and extend the markets for external use of innovation,</w:t>
      </w:r>
      <w:r w:rsidRPr="0073134F">
        <w:rPr>
          <w:lang w:val="en-US"/>
        </w:rPr>
        <w:t xml:space="preserve"> </w:t>
      </w:r>
      <w:r w:rsidRPr="0073134F">
        <w:rPr>
          <w:lang w:val="en-US"/>
        </w:rPr>
        <w:t>respectively"</w:t>
      </w:r>
    </w:p>
    <w:p w:rsidR="0073134F" w:rsidRDefault="0073134F" w:rsidP="0073134F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 w:rsidRPr="0073134F">
        <w:rPr>
          <w:lang w:val="en-US"/>
        </w:rPr>
        <w:t>S</w:t>
      </w:r>
      <w:r w:rsidRPr="0073134F">
        <w:rPr>
          <w:lang w:val="en-US"/>
        </w:rPr>
        <w:t>election of the right partner is probably the most</w:t>
      </w:r>
      <w:r w:rsidRPr="0073134F">
        <w:rPr>
          <w:lang w:val="en-US"/>
        </w:rPr>
        <w:t xml:space="preserve"> </w:t>
      </w:r>
      <w:r w:rsidRPr="0073134F">
        <w:rPr>
          <w:lang w:val="en-US"/>
        </w:rPr>
        <w:t xml:space="preserve">crucial aspect of </w:t>
      </w:r>
      <w:r>
        <w:rPr>
          <w:lang w:val="en-US"/>
        </w:rPr>
        <w:t>OI</w:t>
      </w:r>
      <w:r w:rsidRPr="0073134F">
        <w:rPr>
          <w:lang w:val="en-US"/>
        </w:rPr>
        <w:t xml:space="preserve"> success</w:t>
      </w:r>
    </w:p>
    <w:p w:rsidR="0073134F" w:rsidRDefault="0073134F" w:rsidP="0073134F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 w:rsidRPr="0073134F">
        <w:rPr>
          <w:lang w:val="en-US"/>
        </w:rPr>
        <w:t>O</w:t>
      </w:r>
      <w:r w:rsidRPr="0073134F">
        <w:rPr>
          <w:lang w:val="en-US"/>
        </w:rPr>
        <w:t>bservations of R&amp;D partnerships show that</w:t>
      </w:r>
      <w:r w:rsidRPr="0073134F">
        <w:rPr>
          <w:lang w:val="en-US"/>
        </w:rPr>
        <w:t xml:space="preserve"> </w:t>
      </w:r>
      <w:r w:rsidRPr="0073134F">
        <w:rPr>
          <w:lang w:val="en-US"/>
        </w:rPr>
        <w:t>some entrepreneurial firms follow an effectuation path</w:t>
      </w:r>
      <w:r w:rsidRPr="0073134F">
        <w:rPr>
          <w:lang w:val="en-US"/>
        </w:rPr>
        <w:t xml:space="preserve"> </w:t>
      </w:r>
      <w:r w:rsidRPr="0073134F">
        <w:rPr>
          <w:lang w:val="en-US"/>
        </w:rPr>
        <w:t>that has a more ad-hoc and bottom-up character</w:t>
      </w:r>
    </w:p>
    <w:p w:rsidR="0073134F" w:rsidRDefault="0073134F" w:rsidP="0073134F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 w:rsidRPr="0073134F">
        <w:rPr>
          <w:lang w:val="en-US"/>
        </w:rPr>
        <w:t>Entrepreneurial firms</w:t>
      </w:r>
      <w:r w:rsidRPr="0073134F">
        <w:rPr>
          <w:lang w:val="en-US"/>
        </w:rPr>
        <w:t xml:space="preserve"> </w:t>
      </w:r>
      <w:r w:rsidRPr="0073134F">
        <w:rPr>
          <w:lang w:val="en-US"/>
        </w:rPr>
        <w:t>screen their networks of customers, suppliers, and other</w:t>
      </w:r>
      <w:r w:rsidRPr="0073134F">
        <w:rPr>
          <w:lang w:val="en-US"/>
        </w:rPr>
        <w:t xml:space="preserve"> </w:t>
      </w:r>
      <w:r w:rsidRPr="0073134F">
        <w:rPr>
          <w:lang w:val="en-US"/>
        </w:rPr>
        <w:t>actors to find reliable partners, they are engaged in existing</w:t>
      </w:r>
      <w:r w:rsidRPr="0073134F">
        <w:rPr>
          <w:lang w:val="en-US"/>
        </w:rPr>
        <w:t xml:space="preserve"> </w:t>
      </w:r>
      <w:r w:rsidRPr="0073134F">
        <w:rPr>
          <w:lang w:val="en-US"/>
        </w:rPr>
        <w:t>relationships, and they decide underway what</w:t>
      </w:r>
      <w:r w:rsidRPr="0073134F">
        <w:rPr>
          <w:lang w:val="en-US"/>
        </w:rPr>
        <w:t xml:space="preserve"> </w:t>
      </w:r>
      <w:r w:rsidRPr="0073134F">
        <w:rPr>
          <w:lang w:val="en-US"/>
        </w:rPr>
        <w:t>several partners can do together</w:t>
      </w:r>
    </w:p>
    <w:p w:rsidR="0073134F" w:rsidRDefault="0073134F" w:rsidP="0073134F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 w:rsidRPr="0073134F">
        <w:rPr>
          <w:lang w:val="en-US"/>
        </w:rPr>
        <w:t xml:space="preserve">Focus of this Paper: </w:t>
      </w:r>
      <w:r w:rsidRPr="0073134F">
        <w:rPr>
          <w:lang w:val="en-US"/>
        </w:rPr>
        <w:t>partner-selection issues for open</w:t>
      </w:r>
      <w:r w:rsidRPr="0073134F">
        <w:rPr>
          <w:lang w:val="en-US"/>
        </w:rPr>
        <w:t xml:space="preserve"> </w:t>
      </w:r>
      <w:r w:rsidRPr="0073134F">
        <w:rPr>
          <w:lang w:val="en-US"/>
        </w:rPr>
        <w:t>innovation in the maritime sector of Norway</w:t>
      </w:r>
    </w:p>
    <w:p w:rsidR="003E19B8" w:rsidRDefault="003E19B8" w:rsidP="003E19B8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 w:rsidRPr="003E19B8">
        <w:rPr>
          <w:lang w:val="en-US"/>
        </w:rPr>
        <w:t xml:space="preserve">In Norway, </w:t>
      </w:r>
      <w:r w:rsidRPr="003E19B8">
        <w:rPr>
          <w:lang w:val="en-US"/>
        </w:rPr>
        <w:t>firms are continually encouraged to enter</w:t>
      </w:r>
      <w:r w:rsidRPr="003E19B8">
        <w:rPr>
          <w:lang w:val="en-US"/>
        </w:rPr>
        <w:t xml:space="preserve"> </w:t>
      </w:r>
      <w:r w:rsidRPr="003E19B8">
        <w:rPr>
          <w:lang w:val="en-US"/>
        </w:rPr>
        <w:t>into new partnerships and to strengthen and redefine</w:t>
      </w:r>
      <w:r w:rsidRPr="003E19B8">
        <w:rPr>
          <w:lang w:val="en-US"/>
        </w:rPr>
        <w:t xml:space="preserve"> </w:t>
      </w:r>
      <w:r w:rsidRPr="003E19B8">
        <w:rPr>
          <w:lang w:val="en-US"/>
        </w:rPr>
        <w:t>existing ones</w:t>
      </w:r>
      <w:r>
        <w:rPr>
          <w:lang w:val="en-US"/>
        </w:rPr>
        <w:t xml:space="preserve"> (tax credits, etc.)</w:t>
      </w:r>
    </w:p>
    <w:p w:rsidR="003E19B8" w:rsidRDefault="003E19B8" w:rsidP="003E19B8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Research questions:</w:t>
      </w:r>
    </w:p>
    <w:p w:rsidR="003E19B8" w:rsidRDefault="003E19B8" w:rsidP="003E19B8">
      <w:pPr>
        <w:pStyle w:val="Listenabsatz"/>
        <w:numPr>
          <w:ilvl w:val="1"/>
          <w:numId w:val="4"/>
        </w:numPr>
        <w:spacing w:after="0"/>
        <w:rPr>
          <w:lang w:val="en-US"/>
        </w:rPr>
      </w:pPr>
      <w:r w:rsidRPr="003E19B8">
        <w:rPr>
          <w:lang w:val="en-US"/>
        </w:rPr>
        <w:t>Do firms follow causation or effectuation logic when</w:t>
      </w:r>
      <w:r w:rsidRPr="003E19B8">
        <w:rPr>
          <w:lang w:val="en-US"/>
        </w:rPr>
        <w:t xml:space="preserve"> </w:t>
      </w:r>
      <w:r w:rsidRPr="003E19B8">
        <w:rPr>
          <w:lang w:val="en-US"/>
        </w:rPr>
        <w:t>they form open innovation partnerships?</w:t>
      </w:r>
    </w:p>
    <w:p w:rsidR="003E19B8" w:rsidRDefault="003E19B8" w:rsidP="003E19B8">
      <w:pPr>
        <w:pStyle w:val="Listenabsatz"/>
        <w:numPr>
          <w:ilvl w:val="1"/>
          <w:numId w:val="4"/>
        </w:numPr>
        <w:spacing w:after="0"/>
        <w:rPr>
          <w:lang w:val="en-US"/>
        </w:rPr>
      </w:pPr>
      <w:r w:rsidRPr="003E19B8">
        <w:rPr>
          <w:lang w:val="en-US"/>
        </w:rPr>
        <w:t>How do firms select partners for open innovation?</w:t>
      </w:r>
    </w:p>
    <w:p w:rsidR="00BE4FE3" w:rsidRDefault="00BE4FE3" w:rsidP="00BE4FE3">
      <w:pPr>
        <w:pStyle w:val="Listenabsatz"/>
        <w:numPr>
          <w:ilvl w:val="0"/>
          <w:numId w:val="8"/>
        </w:numPr>
        <w:spacing w:after="0"/>
        <w:rPr>
          <w:lang w:val="en-US"/>
        </w:rPr>
      </w:pPr>
      <w:r w:rsidRPr="00BE4FE3">
        <w:rPr>
          <w:lang w:val="en-US"/>
        </w:rPr>
        <w:t>Contributions</w:t>
      </w:r>
    </w:p>
    <w:p w:rsidR="00BE4FE3" w:rsidRDefault="00BE4FE3" w:rsidP="00BE4FE3">
      <w:pPr>
        <w:pStyle w:val="Listenabsatz"/>
        <w:numPr>
          <w:ilvl w:val="1"/>
          <w:numId w:val="8"/>
        </w:numPr>
        <w:spacing w:after="0"/>
        <w:rPr>
          <w:lang w:val="en-US"/>
        </w:rPr>
      </w:pPr>
      <w:r w:rsidRPr="00BE4FE3">
        <w:rPr>
          <w:lang w:val="en-US"/>
        </w:rPr>
        <w:t>F</w:t>
      </w:r>
      <w:r w:rsidRPr="00BE4FE3">
        <w:rPr>
          <w:lang w:val="en-US"/>
        </w:rPr>
        <w:t>resh insights</w:t>
      </w:r>
      <w:r w:rsidRPr="00BE4FE3">
        <w:rPr>
          <w:lang w:val="en-US"/>
        </w:rPr>
        <w:t xml:space="preserve"> </w:t>
      </w:r>
      <w:r w:rsidRPr="00BE4FE3">
        <w:rPr>
          <w:lang w:val="en-US"/>
        </w:rPr>
        <w:t>to the literature on partner selection in open</w:t>
      </w:r>
      <w:r w:rsidRPr="00BE4FE3">
        <w:rPr>
          <w:lang w:val="en-US"/>
        </w:rPr>
        <w:t xml:space="preserve"> </w:t>
      </w:r>
      <w:r w:rsidRPr="00BE4FE3">
        <w:rPr>
          <w:lang w:val="en-US"/>
        </w:rPr>
        <w:t>innovation</w:t>
      </w:r>
    </w:p>
    <w:p w:rsidR="00BE4FE3" w:rsidRDefault="00BE4FE3" w:rsidP="00BE4FE3">
      <w:pPr>
        <w:pStyle w:val="Listenabsatz"/>
        <w:numPr>
          <w:ilvl w:val="1"/>
          <w:numId w:val="8"/>
        </w:numPr>
        <w:spacing w:after="0"/>
        <w:rPr>
          <w:lang w:val="en-US"/>
        </w:rPr>
      </w:pPr>
      <w:r>
        <w:rPr>
          <w:lang w:val="en-US"/>
        </w:rPr>
        <w:t>F</w:t>
      </w:r>
      <w:r w:rsidRPr="00BE4FE3">
        <w:rPr>
          <w:lang w:val="en-US"/>
        </w:rPr>
        <w:t>orming of R&amp;D partnerships</w:t>
      </w:r>
      <w:r w:rsidRPr="00BE4FE3">
        <w:rPr>
          <w:lang w:val="en-US"/>
        </w:rPr>
        <w:t xml:space="preserve"> </w:t>
      </w:r>
      <w:r w:rsidRPr="00BE4FE3">
        <w:rPr>
          <w:lang w:val="en-US"/>
        </w:rPr>
        <w:t>in open innovation will be considered through the lens</w:t>
      </w:r>
      <w:r w:rsidRPr="00BE4FE3">
        <w:rPr>
          <w:lang w:val="en-US"/>
        </w:rPr>
        <w:t xml:space="preserve"> </w:t>
      </w:r>
      <w:r w:rsidRPr="00BE4FE3">
        <w:rPr>
          <w:lang w:val="en-US"/>
        </w:rPr>
        <w:t>of effectuation and causation theory</w:t>
      </w:r>
    </w:p>
    <w:p w:rsidR="00BE4FE3" w:rsidRDefault="00BE4FE3" w:rsidP="003429AC">
      <w:pPr>
        <w:spacing w:after="0"/>
        <w:rPr>
          <w:lang w:val="en-US"/>
        </w:rPr>
      </w:pPr>
    </w:p>
    <w:p w:rsidR="003429AC" w:rsidRDefault="003429AC" w:rsidP="003429AC">
      <w:pPr>
        <w:spacing w:after="0"/>
        <w:rPr>
          <w:b/>
          <w:lang w:val="en-US"/>
        </w:rPr>
      </w:pPr>
      <w:r>
        <w:rPr>
          <w:b/>
          <w:lang w:val="en-US"/>
        </w:rPr>
        <w:lastRenderedPageBreak/>
        <w:t>Theoretical Backgrounds</w:t>
      </w:r>
    </w:p>
    <w:p w:rsidR="003429AC" w:rsidRDefault="00F4006D" w:rsidP="00F4006D">
      <w:pPr>
        <w:pStyle w:val="Listenabsatz"/>
        <w:numPr>
          <w:ilvl w:val="0"/>
          <w:numId w:val="9"/>
        </w:numPr>
        <w:spacing w:after="0"/>
        <w:rPr>
          <w:lang w:val="en-US"/>
        </w:rPr>
      </w:pPr>
      <w:r w:rsidRPr="00F4006D">
        <w:rPr>
          <w:lang w:val="en-US"/>
        </w:rPr>
        <w:t xml:space="preserve">In this study: </w:t>
      </w:r>
      <w:r>
        <w:rPr>
          <w:lang w:val="en-US"/>
        </w:rPr>
        <w:t>U</w:t>
      </w:r>
      <w:r w:rsidRPr="00F4006D">
        <w:rPr>
          <w:lang w:val="en-US"/>
        </w:rPr>
        <w:t xml:space="preserve">se </w:t>
      </w:r>
      <w:r w:rsidRPr="00F4006D">
        <w:rPr>
          <w:lang w:val="en-US"/>
        </w:rPr>
        <w:t>of</w:t>
      </w:r>
      <w:r w:rsidRPr="00F4006D">
        <w:rPr>
          <w:lang w:val="en-US"/>
        </w:rPr>
        <w:t xml:space="preserve"> effectuation approach</w:t>
      </w:r>
      <w:r w:rsidRPr="00F4006D">
        <w:rPr>
          <w:lang w:val="en-US"/>
        </w:rPr>
        <w:t xml:space="preserve"> </w:t>
      </w:r>
      <w:r w:rsidRPr="00F4006D">
        <w:rPr>
          <w:lang w:val="en-US"/>
        </w:rPr>
        <w:t xml:space="preserve">to explore the cooperative </w:t>
      </w:r>
      <w:r w:rsidRPr="00F4006D">
        <w:rPr>
          <w:lang w:val="en-US"/>
        </w:rPr>
        <w:t>behavior</w:t>
      </w:r>
      <w:r w:rsidRPr="00F4006D">
        <w:rPr>
          <w:lang w:val="en-US"/>
        </w:rPr>
        <w:t xml:space="preserve"> of entrepreneurial</w:t>
      </w:r>
      <w:r w:rsidRPr="00F4006D">
        <w:rPr>
          <w:lang w:val="en-US"/>
        </w:rPr>
        <w:t xml:space="preserve"> </w:t>
      </w:r>
      <w:r w:rsidRPr="00F4006D">
        <w:rPr>
          <w:lang w:val="en-US"/>
        </w:rPr>
        <w:t>firms</w:t>
      </w:r>
    </w:p>
    <w:p w:rsidR="00F4006D" w:rsidRDefault="00F4006D" w:rsidP="00F4006D">
      <w:pPr>
        <w:pStyle w:val="Listenabsatz"/>
        <w:numPr>
          <w:ilvl w:val="0"/>
          <w:numId w:val="9"/>
        </w:numPr>
        <w:spacing w:after="0"/>
        <w:rPr>
          <w:lang w:val="en-US"/>
        </w:rPr>
      </w:pPr>
      <w:r>
        <w:rPr>
          <w:lang w:val="en-US"/>
        </w:rPr>
        <w:t>Effectuation theory</w:t>
      </w:r>
    </w:p>
    <w:p w:rsidR="00F4006D" w:rsidRDefault="00F4006D" w:rsidP="00F4006D">
      <w:pPr>
        <w:pStyle w:val="Listenabsatz"/>
        <w:numPr>
          <w:ilvl w:val="1"/>
          <w:numId w:val="9"/>
        </w:numPr>
        <w:spacing w:after="0"/>
        <w:rPr>
          <w:lang w:val="en-US"/>
        </w:rPr>
      </w:pPr>
      <w:r w:rsidRPr="00F4006D">
        <w:rPr>
          <w:lang w:val="en-US"/>
        </w:rPr>
        <w:t>E</w:t>
      </w:r>
      <w:r w:rsidRPr="00F4006D">
        <w:rPr>
          <w:lang w:val="en-US"/>
        </w:rPr>
        <w:t xml:space="preserve">xplaining the </w:t>
      </w:r>
      <w:r w:rsidRPr="00F4006D">
        <w:rPr>
          <w:lang w:val="en-US"/>
        </w:rPr>
        <w:t xml:space="preserve">decision-making </w:t>
      </w:r>
      <w:r w:rsidRPr="00F4006D">
        <w:rPr>
          <w:lang w:val="en-US"/>
        </w:rPr>
        <w:t>approach of some entrepreneurs</w:t>
      </w:r>
    </w:p>
    <w:p w:rsidR="00F4006D" w:rsidRDefault="00F4006D" w:rsidP="00F4006D">
      <w:pPr>
        <w:pStyle w:val="Listenabsatz"/>
        <w:numPr>
          <w:ilvl w:val="1"/>
          <w:numId w:val="9"/>
        </w:numPr>
        <w:spacing w:after="0"/>
        <w:rPr>
          <w:lang w:val="en-US"/>
        </w:rPr>
      </w:pPr>
      <w:r w:rsidRPr="00F4006D">
        <w:rPr>
          <w:lang w:val="en-US"/>
        </w:rPr>
        <w:t xml:space="preserve">Phase 1: </w:t>
      </w:r>
      <w:r w:rsidRPr="00F4006D">
        <w:rPr>
          <w:lang w:val="en-US"/>
        </w:rPr>
        <w:t>"Who are we?", "What do we know?", "Whom</w:t>
      </w:r>
      <w:r w:rsidRPr="00F4006D">
        <w:rPr>
          <w:lang w:val="en-US"/>
        </w:rPr>
        <w:t xml:space="preserve"> </w:t>
      </w:r>
      <w:r w:rsidRPr="00F4006D">
        <w:rPr>
          <w:lang w:val="en-US"/>
        </w:rPr>
        <w:t>do we know?"</w:t>
      </w:r>
    </w:p>
    <w:p w:rsidR="00F4006D" w:rsidRDefault="00F4006D" w:rsidP="00F4006D">
      <w:pPr>
        <w:pStyle w:val="Listenabsatz"/>
        <w:numPr>
          <w:ilvl w:val="1"/>
          <w:numId w:val="9"/>
        </w:numPr>
        <w:spacing w:after="0"/>
        <w:rPr>
          <w:lang w:val="en-US"/>
        </w:rPr>
      </w:pPr>
      <w:r>
        <w:rPr>
          <w:lang w:val="en-US"/>
        </w:rPr>
        <w:t xml:space="preserve">Phase 2: </w:t>
      </w:r>
      <w:r w:rsidRPr="00F4006D">
        <w:rPr>
          <w:lang w:val="en-US"/>
        </w:rPr>
        <w:t>"What can we do?"</w:t>
      </w:r>
    </w:p>
    <w:p w:rsidR="00F4006D" w:rsidRDefault="00F4006D" w:rsidP="00F4006D">
      <w:pPr>
        <w:pStyle w:val="Listenabsatz"/>
        <w:numPr>
          <w:ilvl w:val="1"/>
          <w:numId w:val="9"/>
        </w:numPr>
        <w:spacing w:after="0"/>
        <w:rPr>
          <w:lang w:val="en-US"/>
        </w:rPr>
      </w:pPr>
      <w:r>
        <w:rPr>
          <w:lang w:val="en-US"/>
        </w:rPr>
        <w:t xml:space="preserve">Phase 3: </w:t>
      </w:r>
      <w:r w:rsidRPr="00F4006D">
        <w:rPr>
          <w:lang w:val="en-US"/>
        </w:rPr>
        <w:t>"</w:t>
      </w:r>
      <w:r>
        <w:rPr>
          <w:lang w:val="en-US"/>
        </w:rPr>
        <w:t>S</w:t>
      </w:r>
      <w:r w:rsidRPr="00F4006D">
        <w:rPr>
          <w:lang w:val="en-US"/>
        </w:rPr>
        <w:t>takeholder interaction"</w:t>
      </w:r>
    </w:p>
    <w:p w:rsidR="00F4006D" w:rsidRPr="00F4006D" w:rsidRDefault="00F4006D" w:rsidP="00F4006D">
      <w:pPr>
        <w:pStyle w:val="Listenabsatz"/>
        <w:numPr>
          <w:ilvl w:val="1"/>
          <w:numId w:val="9"/>
        </w:numPr>
        <w:spacing w:after="0"/>
        <w:rPr>
          <w:lang w:val="en-US"/>
        </w:rPr>
      </w:pPr>
      <w:r>
        <w:rPr>
          <w:lang w:val="en-US"/>
        </w:rPr>
        <w:t xml:space="preserve">Phase 4: </w:t>
      </w:r>
      <w:r w:rsidRPr="00F4006D">
        <w:rPr>
          <w:lang w:val="en-US"/>
        </w:rPr>
        <w:t>"</w:t>
      </w:r>
      <w:r>
        <w:rPr>
          <w:lang w:val="en-US"/>
        </w:rPr>
        <w:t>L</w:t>
      </w:r>
      <w:r w:rsidRPr="00F4006D">
        <w:rPr>
          <w:lang w:val="en-US"/>
        </w:rPr>
        <w:t>everaging contingencies"</w:t>
      </w:r>
    </w:p>
    <w:p w:rsidR="00F4006D" w:rsidRDefault="00F4006D" w:rsidP="00F4006D">
      <w:pPr>
        <w:pStyle w:val="Listenabsatz"/>
        <w:numPr>
          <w:ilvl w:val="0"/>
          <w:numId w:val="9"/>
        </w:numPr>
        <w:spacing w:after="0"/>
        <w:rPr>
          <w:lang w:val="en-US"/>
        </w:rPr>
      </w:pPr>
      <w:r>
        <w:rPr>
          <w:lang w:val="en-US"/>
        </w:rPr>
        <w:t>Causation theory</w:t>
      </w:r>
    </w:p>
    <w:p w:rsidR="00F4006D" w:rsidRDefault="00F4006D" w:rsidP="00F4006D">
      <w:pPr>
        <w:pStyle w:val="Listenabsatz"/>
        <w:numPr>
          <w:ilvl w:val="1"/>
          <w:numId w:val="9"/>
        </w:numPr>
        <w:spacing w:after="0"/>
        <w:rPr>
          <w:lang w:val="en-US"/>
        </w:rPr>
      </w:pPr>
      <w:r>
        <w:rPr>
          <w:lang w:val="en-US"/>
        </w:rPr>
        <w:t>Phase 1: M</w:t>
      </w:r>
      <w:r w:rsidRPr="00F4006D">
        <w:rPr>
          <w:lang w:val="en-US"/>
        </w:rPr>
        <w:t>arket is analyzed for prospective opportunities</w:t>
      </w:r>
    </w:p>
    <w:p w:rsidR="00F4006D" w:rsidRDefault="00F4006D" w:rsidP="00F4006D">
      <w:pPr>
        <w:pStyle w:val="Listenabsatz"/>
        <w:numPr>
          <w:ilvl w:val="1"/>
          <w:numId w:val="9"/>
        </w:numPr>
        <w:spacing w:after="0"/>
        <w:rPr>
          <w:lang w:val="en-US"/>
        </w:rPr>
      </w:pPr>
      <w:r w:rsidRPr="00F4006D">
        <w:rPr>
          <w:lang w:val="en-US"/>
        </w:rPr>
        <w:t>Phase 2: E</w:t>
      </w:r>
      <w:r w:rsidRPr="00F4006D">
        <w:rPr>
          <w:lang w:val="en-US"/>
        </w:rPr>
        <w:t>ntrepreneur</w:t>
      </w:r>
      <w:r w:rsidRPr="00F4006D">
        <w:rPr>
          <w:lang w:val="en-US"/>
        </w:rPr>
        <w:t xml:space="preserve"> </w:t>
      </w:r>
      <w:r w:rsidRPr="00F4006D">
        <w:rPr>
          <w:lang w:val="en-US"/>
        </w:rPr>
        <w:t>or a top management team sets the goals</w:t>
      </w:r>
    </w:p>
    <w:p w:rsidR="00F4006D" w:rsidRDefault="00F4006D" w:rsidP="00F4006D">
      <w:pPr>
        <w:pStyle w:val="Listenabsatz"/>
        <w:numPr>
          <w:ilvl w:val="1"/>
          <w:numId w:val="9"/>
        </w:numPr>
        <w:spacing w:after="0"/>
        <w:rPr>
          <w:lang w:val="en-US"/>
        </w:rPr>
      </w:pPr>
      <w:r>
        <w:rPr>
          <w:lang w:val="en-US"/>
        </w:rPr>
        <w:t>Phase 3: S</w:t>
      </w:r>
      <w:r w:rsidRPr="00F4006D">
        <w:rPr>
          <w:lang w:val="en-US"/>
        </w:rPr>
        <w:t>et of means to achieve these goals are determined</w:t>
      </w:r>
    </w:p>
    <w:p w:rsidR="00F4006D" w:rsidRPr="00F4006D" w:rsidRDefault="00F4006D" w:rsidP="00F4006D">
      <w:pPr>
        <w:pStyle w:val="Listenabsatz"/>
        <w:numPr>
          <w:ilvl w:val="1"/>
          <w:numId w:val="9"/>
        </w:numPr>
        <w:spacing w:after="0"/>
        <w:rPr>
          <w:lang w:val="en-US"/>
        </w:rPr>
      </w:pPr>
      <w:r w:rsidRPr="00F4006D">
        <w:rPr>
          <w:lang w:val="en-US"/>
        </w:rPr>
        <w:t xml:space="preserve">Phase 4: </w:t>
      </w:r>
      <w:r>
        <w:rPr>
          <w:lang w:val="en-US"/>
        </w:rPr>
        <w:t>S</w:t>
      </w:r>
      <w:r w:rsidRPr="00F4006D">
        <w:rPr>
          <w:lang w:val="en-US"/>
        </w:rPr>
        <w:t>creen</w:t>
      </w:r>
      <w:r>
        <w:rPr>
          <w:lang w:val="en-US"/>
        </w:rPr>
        <w:t>ing</w:t>
      </w:r>
      <w:r w:rsidRPr="00F4006D">
        <w:rPr>
          <w:lang w:val="en-US"/>
        </w:rPr>
        <w:t xml:space="preserve"> the market for potential partners</w:t>
      </w:r>
      <w:r>
        <w:rPr>
          <w:lang w:val="en-US"/>
        </w:rPr>
        <w:t xml:space="preserve"> &amp; partner selection</w:t>
      </w:r>
    </w:p>
    <w:p w:rsidR="00F4006D" w:rsidRDefault="00F4006D" w:rsidP="00F4006D">
      <w:pPr>
        <w:pStyle w:val="Listenabsatz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>In this paper: Apply effectuation/causation theory to large firms (usually entrepreneurs)</w:t>
      </w:r>
    </w:p>
    <w:p w:rsidR="00F4006D" w:rsidRDefault="009D105A" w:rsidP="00F4006D">
      <w:pPr>
        <w:pStyle w:val="Listenabsatz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>2 modes of partner search:</w:t>
      </w:r>
    </w:p>
    <w:p w:rsidR="009D105A" w:rsidRDefault="009D105A" w:rsidP="009D105A">
      <w:pPr>
        <w:pStyle w:val="Listenabsatz"/>
        <w:numPr>
          <w:ilvl w:val="1"/>
          <w:numId w:val="10"/>
        </w:numPr>
        <w:spacing w:after="0"/>
        <w:rPr>
          <w:lang w:val="en-US"/>
        </w:rPr>
      </w:pPr>
      <w:r w:rsidRPr="009D105A">
        <w:rPr>
          <w:lang w:val="en-US"/>
        </w:rPr>
        <w:t>I</w:t>
      </w:r>
      <w:r w:rsidRPr="009D105A">
        <w:rPr>
          <w:lang w:val="en-US"/>
        </w:rPr>
        <w:t>nstitutionalized</w:t>
      </w:r>
      <w:r w:rsidRPr="009D105A">
        <w:rPr>
          <w:lang w:val="en-US"/>
        </w:rPr>
        <w:t xml:space="preserve"> </w:t>
      </w:r>
      <w:r w:rsidRPr="009D105A">
        <w:rPr>
          <w:lang w:val="en-US"/>
        </w:rPr>
        <w:t>mode</w:t>
      </w:r>
      <w:r>
        <w:rPr>
          <w:lang w:val="en-US"/>
        </w:rPr>
        <w:t>/</w:t>
      </w:r>
      <w:r w:rsidRPr="009D105A">
        <w:rPr>
          <w:lang w:val="en-US"/>
        </w:rPr>
        <w:t>mechanism</w:t>
      </w:r>
    </w:p>
    <w:p w:rsidR="009D105A" w:rsidRDefault="009D105A" w:rsidP="00DB6694">
      <w:pPr>
        <w:pStyle w:val="Listenabsatz"/>
        <w:numPr>
          <w:ilvl w:val="1"/>
          <w:numId w:val="10"/>
        </w:numPr>
        <w:spacing w:after="0"/>
        <w:rPr>
          <w:lang w:val="en-US"/>
        </w:rPr>
      </w:pPr>
      <w:r>
        <w:rPr>
          <w:lang w:val="en-US"/>
        </w:rPr>
        <w:t>Social mechanism</w:t>
      </w:r>
    </w:p>
    <w:p w:rsidR="00DB6694" w:rsidRDefault="00DB6694" w:rsidP="00DB6694">
      <w:pPr>
        <w:spacing w:after="0"/>
        <w:rPr>
          <w:b/>
          <w:lang w:val="en-US"/>
        </w:rPr>
      </w:pPr>
      <w:r>
        <w:rPr>
          <w:b/>
          <w:lang w:val="en-US"/>
        </w:rPr>
        <w:t>Research Method: A Case Study Approach</w:t>
      </w:r>
    </w:p>
    <w:p w:rsidR="00DB6694" w:rsidRDefault="00DB6694" w:rsidP="00DB6694">
      <w:pPr>
        <w:pStyle w:val="Listenabsatz"/>
        <w:numPr>
          <w:ilvl w:val="0"/>
          <w:numId w:val="11"/>
        </w:numPr>
        <w:spacing w:after="0"/>
        <w:rPr>
          <w:lang w:val="en-US"/>
        </w:rPr>
      </w:pPr>
      <w:r w:rsidRPr="00DB6694">
        <w:rPr>
          <w:lang w:val="en-US"/>
        </w:rPr>
        <w:t xml:space="preserve">A </w:t>
      </w:r>
      <w:r w:rsidRPr="00DB6694">
        <w:rPr>
          <w:lang w:val="en-US"/>
        </w:rPr>
        <w:t>single case study method</w:t>
      </w:r>
      <w:r w:rsidRPr="00DB6694">
        <w:rPr>
          <w:lang w:val="en-US"/>
        </w:rPr>
        <w:t xml:space="preserve"> </w:t>
      </w:r>
      <w:r w:rsidRPr="00DB6694">
        <w:rPr>
          <w:lang w:val="en-US"/>
        </w:rPr>
        <w:t>used to explore the research</w:t>
      </w:r>
      <w:r w:rsidRPr="00DB6694">
        <w:rPr>
          <w:lang w:val="en-US"/>
        </w:rPr>
        <w:t xml:space="preserve"> </w:t>
      </w:r>
      <w:r w:rsidRPr="00DB6694">
        <w:rPr>
          <w:lang w:val="en-US"/>
        </w:rPr>
        <w:t>questions related to open-innovation partnership</w:t>
      </w:r>
      <w:r w:rsidRPr="00DB6694">
        <w:rPr>
          <w:lang w:val="en-US"/>
        </w:rPr>
        <w:t xml:space="preserve"> </w:t>
      </w:r>
      <w:r w:rsidRPr="00DB6694">
        <w:rPr>
          <w:lang w:val="en-US"/>
        </w:rPr>
        <w:t>formation and partner-selection issues for</w:t>
      </w:r>
      <w:r w:rsidRPr="00DB6694">
        <w:rPr>
          <w:lang w:val="en-US"/>
        </w:rPr>
        <w:t xml:space="preserve"> </w:t>
      </w:r>
      <w:r w:rsidRPr="00DB6694">
        <w:rPr>
          <w:lang w:val="en-US"/>
        </w:rPr>
        <w:t>open-innovation development</w:t>
      </w:r>
    </w:p>
    <w:p w:rsidR="00DB6694" w:rsidRDefault="00DB6694" w:rsidP="00DB6694">
      <w:pPr>
        <w:pStyle w:val="Listenabsatz"/>
        <w:numPr>
          <w:ilvl w:val="0"/>
          <w:numId w:val="11"/>
        </w:numPr>
        <w:spacing w:after="0"/>
        <w:rPr>
          <w:lang w:val="en-US"/>
        </w:rPr>
      </w:pPr>
      <w:r w:rsidRPr="00DB6694">
        <w:rPr>
          <w:lang w:val="en-US"/>
        </w:rPr>
        <w:t xml:space="preserve">The </w:t>
      </w:r>
      <w:r w:rsidRPr="00DB6694">
        <w:rPr>
          <w:lang w:val="en-US"/>
        </w:rPr>
        <w:t xml:space="preserve">selected </w:t>
      </w:r>
      <w:r w:rsidRPr="00DB6694">
        <w:rPr>
          <w:lang w:val="en-US"/>
        </w:rPr>
        <w:t>case involved the development of a</w:t>
      </w:r>
      <w:r w:rsidRPr="00DB6694">
        <w:rPr>
          <w:lang w:val="en-US"/>
        </w:rPr>
        <w:t xml:space="preserve"> </w:t>
      </w:r>
      <w:r w:rsidRPr="00DB6694">
        <w:rPr>
          <w:lang w:val="en-US"/>
        </w:rPr>
        <w:t>unique and revolutionary ship that uses liquid natural</w:t>
      </w:r>
      <w:r w:rsidRPr="00DB6694">
        <w:rPr>
          <w:lang w:val="en-US"/>
        </w:rPr>
        <w:t xml:space="preserve"> </w:t>
      </w:r>
      <w:r w:rsidRPr="00DB6694">
        <w:rPr>
          <w:lang w:val="en-US"/>
        </w:rPr>
        <w:t>gas and hydrogen power</w:t>
      </w:r>
    </w:p>
    <w:p w:rsidR="00DB6694" w:rsidRPr="00DB6694" w:rsidRDefault="00DB6694" w:rsidP="00DB6694">
      <w:pPr>
        <w:pStyle w:val="Listenabsatz"/>
        <w:numPr>
          <w:ilvl w:val="0"/>
          <w:numId w:val="11"/>
        </w:numPr>
        <w:spacing w:after="0"/>
        <w:rPr>
          <w:lang w:val="en-US"/>
        </w:rPr>
      </w:pPr>
      <w:r w:rsidRPr="00DB6694">
        <w:rPr>
          <w:lang w:val="en-US"/>
        </w:rPr>
        <w:t>In 2012, seven semi-structured interviews were carried</w:t>
      </w:r>
      <w:r w:rsidRPr="00DB6694">
        <w:rPr>
          <w:lang w:val="en-US"/>
        </w:rPr>
        <w:t xml:space="preserve"> </w:t>
      </w:r>
      <w:r w:rsidRPr="00DB6694">
        <w:rPr>
          <w:lang w:val="en-US"/>
        </w:rPr>
        <w:t>out among the participants of an open-innovation project</w:t>
      </w:r>
      <w:r w:rsidRPr="00DB6694">
        <w:rPr>
          <w:lang w:val="en-US"/>
        </w:rPr>
        <w:t xml:space="preserve"> </w:t>
      </w:r>
      <w:r w:rsidRPr="00DB6694">
        <w:rPr>
          <w:lang w:val="en-US"/>
        </w:rPr>
        <w:t>aimed at developing an environmentally friendly</w:t>
      </w:r>
      <w:r w:rsidRPr="00DB6694">
        <w:rPr>
          <w:lang w:val="en-US"/>
        </w:rPr>
        <w:t xml:space="preserve"> </w:t>
      </w:r>
      <w:r w:rsidRPr="00DB6694">
        <w:rPr>
          <w:lang w:val="en-US"/>
        </w:rPr>
        <w:t>hybrid-platform supply ship for a Norwegian shipping</w:t>
      </w:r>
      <w:r w:rsidRPr="00DB6694">
        <w:rPr>
          <w:lang w:val="en-US"/>
        </w:rPr>
        <w:t xml:space="preserve"> </w:t>
      </w:r>
      <w:r w:rsidRPr="00DB6694">
        <w:rPr>
          <w:lang w:val="en-US"/>
        </w:rPr>
        <w:t>company</w:t>
      </w:r>
    </w:p>
    <w:p w:rsidR="0073134F" w:rsidRDefault="00A52517" w:rsidP="0073134F">
      <w:pPr>
        <w:spacing w:after="0"/>
        <w:rPr>
          <w:b/>
          <w:lang w:val="en-US"/>
        </w:rPr>
      </w:pPr>
      <w:r>
        <w:rPr>
          <w:b/>
          <w:lang w:val="en-US"/>
        </w:rPr>
        <w:t>Findings</w:t>
      </w:r>
    </w:p>
    <w:p w:rsidR="00A52517" w:rsidRDefault="001E3D24" w:rsidP="001E3D24">
      <w:pPr>
        <w:pStyle w:val="Listenabsatz"/>
        <w:numPr>
          <w:ilvl w:val="0"/>
          <w:numId w:val="12"/>
        </w:numPr>
        <w:spacing w:after="0"/>
        <w:rPr>
          <w:lang w:val="en-US"/>
        </w:rPr>
      </w:pPr>
      <w:r w:rsidRPr="001E3D24">
        <w:rPr>
          <w:lang w:val="en-US"/>
        </w:rPr>
        <w:t xml:space="preserve">The project used an </w:t>
      </w:r>
      <w:r>
        <w:rPr>
          <w:lang w:val="en-US"/>
        </w:rPr>
        <w:t>OI</w:t>
      </w:r>
      <w:r w:rsidRPr="001E3D24">
        <w:rPr>
          <w:lang w:val="en-US"/>
        </w:rPr>
        <w:t xml:space="preserve"> approach and</w:t>
      </w:r>
      <w:r>
        <w:rPr>
          <w:lang w:val="en-US"/>
        </w:rPr>
        <w:t xml:space="preserve"> </w:t>
      </w:r>
      <w:r w:rsidRPr="001E3D24">
        <w:rPr>
          <w:lang w:val="en-US"/>
        </w:rPr>
        <w:t>united enterprises based in Norway and Germany</w:t>
      </w:r>
    </w:p>
    <w:p w:rsidR="003C3426" w:rsidRDefault="003C3426" w:rsidP="003C3426">
      <w:pPr>
        <w:pStyle w:val="Listenabsatz"/>
        <w:numPr>
          <w:ilvl w:val="0"/>
          <w:numId w:val="12"/>
        </w:numPr>
        <w:spacing w:after="0"/>
        <w:rPr>
          <w:lang w:val="en-US"/>
        </w:rPr>
      </w:pPr>
      <w:r w:rsidRPr="003C3426">
        <w:rPr>
          <w:lang w:val="en-US"/>
        </w:rPr>
        <w:t>F</w:t>
      </w:r>
      <w:r w:rsidRPr="003C3426">
        <w:rPr>
          <w:lang w:val="en-US"/>
        </w:rPr>
        <w:t>or an</w:t>
      </w:r>
      <w:r w:rsidRPr="003C3426">
        <w:rPr>
          <w:lang w:val="en-US"/>
        </w:rPr>
        <w:t xml:space="preserve"> OI </w:t>
      </w:r>
      <w:r w:rsidRPr="003C3426">
        <w:rPr>
          <w:lang w:val="en-US"/>
        </w:rPr>
        <w:t>project, the project initiator</w:t>
      </w:r>
      <w:r w:rsidRPr="003C3426">
        <w:rPr>
          <w:lang w:val="en-US"/>
        </w:rPr>
        <w:t xml:space="preserve"> </w:t>
      </w:r>
      <w:r w:rsidRPr="003C3426">
        <w:rPr>
          <w:lang w:val="en-US"/>
        </w:rPr>
        <w:t>wishes to use only reliable partners with whom they cooperated</w:t>
      </w:r>
      <w:r w:rsidRPr="003C3426">
        <w:rPr>
          <w:lang w:val="en-US"/>
        </w:rPr>
        <w:t xml:space="preserve"> </w:t>
      </w:r>
      <w:r w:rsidRPr="003C3426">
        <w:rPr>
          <w:lang w:val="en-US"/>
        </w:rPr>
        <w:t>earlier</w:t>
      </w:r>
      <w:r w:rsidRPr="003C3426">
        <w:rPr>
          <w:lang w:val="en-US"/>
        </w:rPr>
        <w:br/>
      </w:r>
      <w:r w:rsidRPr="003C3426">
        <w:rPr>
          <w:lang w:val="en-US"/>
        </w:rPr>
        <w:sym w:font="Wingdings" w:char="F0E0"/>
      </w:r>
      <w:r w:rsidRPr="003C3426">
        <w:rPr>
          <w:lang w:val="en-US"/>
        </w:rPr>
        <w:t xml:space="preserve"> </w:t>
      </w:r>
      <w:r w:rsidRPr="003C3426">
        <w:rPr>
          <w:lang w:val="en-US"/>
        </w:rPr>
        <w:t>65</w:t>
      </w:r>
      <w:r>
        <w:rPr>
          <w:lang w:val="en-US"/>
        </w:rPr>
        <w:t xml:space="preserve">% </w:t>
      </w:r>
      <w:r w:rsidRPr="003C3426">
        <w:rPr>
          <w:lang w:val="en-US"/>
        </w:rPr>
        <w:t>o</w:t>
      </w:r>
      <w:r>
        <w:rPr>
          <w:lang w:val="en-US"/>
        </w:rPr>
        <w:t>f OI</w:t>
      </w:r>
      <w:r w:rsidRPr="003C3426">
        <w:rPr>
          <w:lang w:val="en-US"/>
        </w:rPr>
        <w:t xml:space="preserve"> projects are carried out with "steady</w:t>
      </w:r>
      <w:r>
        <w:rPr>
          <w:lang w:val="en-US"/>
        </w:rPr>
        <w:t xml:space="preserve"> </w:t>
      </w:r>
      <w:r w:rsidRPr="003C3426">
        <w:rPr>
          <w:lang w:val="en-US"/>
        </w:rPr>
        <w:t>partners"</w:t>
      </w:r>
    </w:p>
    <w:p w:rsidR="003C3426" w:rsidRDefault="00436A54" w:rsidP="00436A54">
      <w:pPr>
        <w:pStyle w:val="Listenabsatz"/>
        <w:numPr>
          <w:ilvl w:val="0"/>
          <w:numId w:val="12"/>
        </w:numPr>
        <w:spacing w:after="0"/>
        <w:rPr>
          <w:lang w:val="en-US"/>
        </w:rPr>
      </w:pPr>
      <w:r w:rsidRPr="00436A54">
        <w:rPr>
          <w:b/>
          <w:lang w:val="en-US"/>
        </w:rPr>
        <w:t>Proposition 1:</w:t>
      </w:r>
      <w:r w:rsidRPr="00436A54">
        <w:rPr>
          <w:lang w:val="en-US"/>
        </w:rPr>
        <w:t xml:space="preserve"> Firms that had mutually beneficial relationships</w:t>
      </w:r>
      <w:r w:rsidRPr="00436A54">
        <w:rPr>
          <w:lang w:val="en-US"/>
        </w:rPr>
        <w:t xml:space="preserve"> </w:t>
      </w:r>
      <w:r w:rsidRPr="00436A54">
        <w:rPr>
          <w:lang w:val="en-US"/>
        </w:rPr>
        <w:t xml:space="preserve">with certain firms in past </w:t>
      </w:r>
      <w:r>
        <w:rPr>
          <w:lang w:val="en-US"/>
        </w:rPr>
        <w:t>OI</w:t>
      </w:r>
      <w:r w:rsidRPr="00436A54">
        <w:rPr>
          <w:lang w:val="en-US"/>
        </w:rPr>
        <w:t xml:space="preserve"> </w:t>
      </w:r>
      <w:r w:rsidRPr="00436A54">
        <w:rPr>
          <w:lang w:val="en-US"/>
        </w:rPr>
        <w:t>projects would tend to engage the same partners in new</w:t>
      </w:r>
      <w:r w:rsidRPr="00436A54">
        <w:rPr>
          <w:lang w:val="en-US"/>
        </w:rPr>
        <w:t xml:space="preserve"> </w:t>
      </w:r>
      <w:r>
        <w:rPr>
          <w:lang w:val="en-US"/>
        </w:rPr>
        <w:t>OI</w:t>
      </w:r>
      <w:r w:rsidRPr="00436A54">
        <w:rPr>
          <w:lang w:val="en-US"/>
        </w:rPr>
        <w:t xml:space="preserve"> projects</w:t>
      </w:r>
    </w:p>
    <w:p w:rsidR="00436A54" w:rsidRDefault="00436A54" w:rsidP="00436A54">
      <w:pPr>
        <w:pStyle w:val="Listenabsatz"/>
        <w:numPr>
          <w:ilvl w:val="0"/>
          <w:numId w:val="12"/>
        </w:numPr>
        <w:spacing w:after="0"/>
        <w:rPr>
          <w:lang w:val="en-US"/>
        </w:rPr>
      </w:pPr>
      <w:r w:rsidRPr="00436A54">
        <w:rPr>
          <w:b/>
          <w:lang w:val="en-US"/>
        </w:rPr>
        <w:t>Proposition 2:</w:t>
      </w:r>
      <w:r w:rsidRPr="00436A54">
        <w:rPr>
          <w:lang w:val="en-US"/>
        </w:rPr>
        <w:t xml:space="preserve"> Firms that prefer to keep sensitive information</w:t>
      </w:r>
      <w:r w:rsidRPr="00436A54">
        <w:rPr>
          <w:lang w:val="en-US"/>
        </w:rPr>
        <w:t xml:space="preserve"> </w:t>
      </w:r>
      <w:r w:rsidRPr="00436A54">
        <w:rPr>
          <w:lang w:val="en-US"/>
        </w:rPr>
        <w:t xml:space="preserve">related to a product to be created in an </w:t>
      </w:r>
      <w:r w:rsidRPr="00436A54">
        <w:rPr>
          <w:lang w:val="en-US"/>
        </w:rPr>
        <w:t xml:space="preserve">OI </w:t>
      </w:r>
      <w:r w:rsidRPr="00436A54">
        <w:rPr>
          <w:lang w:val="en-US"/>
        </w:rPr>
        <w:t>project, tend to select partners from those</w:t>
      </w:r>
      <w:r w:rsidRPr="00436A54">
        <w:rPr>
          <w:lang w:val="en-US"/>
        </w:rPr>
        <w:t xml:space="preserve"> </w:t>
      </w:r>
      <w:r w:rsidRPr="00436A54">
        <w:rPr>
          <w:lang w:val="en-US"/>
        </w:rPr>
        <w:t>firms that they know from the past and have established</w:t>
      </w:r>
      <w:r w:rsidRPr="00436A54">
        <w:rPr>
          <w:lang w:val="en-US"/>
        </w:rPr>
        <w:t xml:space="preserve"> </w:t>
      </w:r>
      <w:r w:rsidRPr="00436A54">
        <w:rPr>
          <w:lang w:val="en-US"/>
        </w:rPr>
        <w:t>trustful relationships, rather than select partners in the</w:t>
      </w:r>
      <w:r w:rsidRPr="00436A54">
        <w:rPr>
          <w:lang w:val="en-US"/>
        </w:rPr>
        <w:t xml:space="preserve"> </w:t>
      </w:r>
      <w:r w:rsidRPr="00436A54">
        <w:rPr>
          <w:lang w:val="en-US"/>
        </w:rPr>
        <w:t>market</w:t>
      </w:r>
    </w:p>
    <w:p w:rsidR="00436A54" w:rsidRDefault="0017514F" w:rsidP="0017514F">
      <w:pPr>
        <w:pStyle w:val="Listenabsatz"/>
        <w:numPr>
          <w:ilvl w:val="0"/>
          <w:numId w:val="12"/>
        </w:numPr>
        <w:spacing w:after="0"/>
        <w:rPr>
          <w:lang w:val="en-US"/>
        </w:rPr>
      </w:pPr>
      <w:r w:rsidRPr="0017514F">
        <w:rPr>
          <w:b/>
          <w:lang w:val="en-US"/>
        </w:rPr>
        <w:t>Proposition 3</w:t>
      </w:r>
      <w:r w:rsidRPr="0017514F">
        <w:rPr>
          <w:lang w:val="en-US"/>
        </w:rPr>
        <w:t xml:space="preserve">: Initiators of </w:t>
      </w:r>
      <w:r>
        <w:rPr>
          <w:lang w:val="en-US"/>
        </w:rPr>
        <w:t>OI</w:t>
      </w:r>
      <w:r w:rsidRPr="0017514F">
        <w:rPr>
          <w:lang w:val="en-US"/>
        </w:rPr>
        <w:t xml:space="preserve"> projects</w:t>
      </w:r>
      <w:r w:rsidRPr="0017514F">
        <w:rPr>
          <w:lang w:val="en-US"/>
        </w:rPr>
        <w:t xml:space="preserve"> </w:t>
      </w:r>
      <w:r w:rsidRPr="0017514F">
        <w:rPr>
          <w:lang w:val="en-US"/>
        </w:rPr>
        <w:t>tend to use an effectuation approach to new R&amp;D venture</w:t>
      </w:r>
      <w:r w:rsidRPr="0017514F">
        <w:rPr>
          <w:lang w:val="en-US"/>
        </w:rPr>
        <w:t xml:space="preserve"> </w:t>
      </w:r>
      <w:r w:rsidRPr="0017514F">
        <w:rPr>
          <w:lang w:val="en-US"/>
        </w:rPr>
        <w:t>formation when they have only a rough idea about</w:t>
      </w:r>
      <w:r w:rsidRPr="0017514F">
        <w:rPr>
          <w:lang w:val="en-US"/>
        </w:rPr>
        <w:t xml:space="preserve"> </w:t>
      </w:r>
      <w:r w:rsidRPr="0017514F">
        <w:rPr>
          <w:lang w:val="en-US"/>
        </w:rPr>
        <w:t>the final product</w:t>
      </w:r>
    </w:p>
    <w:p w:rsidR="0017514F" w:rsidRDefault="0017514F" w:rsidP="0017514F">
      <w:pPr>
        <w:spacing w:after="0"/>
        <w:rPr>
          <w:b/>
          <w:lang w:val="en-US"/>
        </w:rPr>
      </w:pPr>
      <w:r>
        <w:rPr>
          <w:b/>
          <w:lang w:val="en-US"/>
        </w:rPr>
        <w:t>Conclusion &amp; Implications</w:t>
      </w:r>
    </w:p>
    <w:p w:rsidR="0017514F" w:rsidRDefault="0017514F" w:rsidP="0017514F">
      <w:pPr>
        <w:pStyle w:val="Listenabsatz"/>
        <w:numPr>
          <w:ilvl w:val="0"/>
          <w:numId w:val="13"/>
        </w:numPr>
        <w:spacing w:after="0"/>
        <w:rPr>
          <w:lang w:val="en-US"/>
        </w:rPr>
      </w:pPr>
      <w:bookmarkStart w:id="1" w:name="_Hlk529256575"/>
      <w:r w:rsidRPr="0017514F">
        <w:rPr>
          <w:lang w:val="en-US"/>
        </w:rPr>
        <w:t>The results</w:t>
      </w:r>
      <w:r w:rsidRPr="0017514F">
        <w:rPr>
          <w:lang w:val="en-US"/>
        </w:rPr>
        <w:t xml:space="preserve"> </w:t>
      </w:r>
      <w:r w:rsidRPr="0017514F">
        <w:rPr>
          <w:lang w:val="en-US"/>
        </w:rPr>
        <w:t>show that effectuation rather than causation is a suitable</w:t>
      </w:r>
      <w:r w:rsidRPr="0017514F">
        <w:rPr>
          <w:lang w:val="en-US"/>
        </w:rPr>
        <w:t xml:space="preserve"> </w:t>
      </w:r>
      <w:r w:rsidRPr="0017514F">
        <w:rPr>
          <w:lang w:val="en-US"/>
        </w:rPr>
        <w:t xml:space="preserve">approach for </w:t>
      </w:r>
      <w:r w:rsidRPr="0017514F">
        <w:rPr>
          <w:lang w:val="en-US"/>
        </w:rPr>
        <w:t>OI</w:t>
      </w:r>
      <w:r w:rsidRPr="0017514F">
        <w:rPr>
          <w:lang w:val="en-US"/>
        </w:rPr>
        <w:t xml:space="preserve"> development under</w:t>
      </w:r>
      <w:r w:rsidRPr="0017514F">
        <w:rPr>
          <w:lang w:val="en-US"/>
        </w:rPr>
        <w:t xml:space="preserve"> </w:t>
      </w:r>
      <w:r w:rsidRPr="0017514F">
        <w:rPr>
          <w:lang w:val="en-US"/>
        </w:rPr>
        <w:t>certain circumstances</w:t>
      </w:r>
      <w:bookmarkEnd w:id="1"/>
    </w:p>
    <w:p w:rsidR="0017514F" w:rsidRDefault="0017514F" w:rsidP="0017514F">
      <w:pPr>
        <w:pStyle w:val="Listenabsatz"/>
        <w:numPr>
          <w:ilvl w:val="0"/>
          <w:numId w:val="13"/>
        </w:numPr>
        <w:spacing w:after="0"/>
        <w:rPr>
          <w:lang w:val="en-US"/>
        </w:rPr>
      </w:pPr>
      <w:r w:rsidRPr="0017514F">
        <w:rPr>
          <w:lang w:val="en-US"/>
        </w:rPr>
        <w:t>Innovations are related to sensitivity</w:t>
      </w:r>
      <w:r w:rsidRPr="0017514F">
        <w:rPr>
          <w:lang w:val="en-US"/>
        </w:rPr>
        <w:t xml:space="preserve"> </w:t>
      </w:r>
      <w:r w:rsidRPr="0017514F">
        <w:rPr>
          <w:lang w:val="en-US"/>
        </w:rPr>
        <w:t>of information outflow, and initiators of innovation</w:t>
      </w:r>
      <w:r w:rsidRPr="0017514F">
        <w:rPr>
          <w:lang w:val="en-US"/>
        </w:rPr>
        <w:t xml:space="preserve"> </w:t>
      </w:r>
      <w:r w:rsidRPr="0017514F">
        <w:rPr>
          <w:lang w:val="en-US"/>
        </w:rPr>
        <w:t>prefer to deal with known partners that they trust</w:t>
      </w:r>
    </w:p>
    <w:p w:rsidR="0017514F" w:rsidRDefault="0017514F" w:rsidP="0017514F">
      <w:pPr>
        <w:pStyle w:val="Listenabsatz"/>
        <w:numPr>
          <w:ilvl w:val="0"/>
          <w:numId w:val="13"/>
        </w:numPr>
        <w:spacing w:after="0"/>
        <w:rPr>
          <w:lang w:val="en-US"/>
        </w:rPr>
      </w:pPr>
      <w:r w:rsidRPr="0017514F">
        <w:rPr>
          <w:lang w:val="en-US"/>
        </w:rPr>
        <w:t>C</w:t>
      </w:r>
      <w:r w:rsidRPr="0017514F">
        <w:rPr>
          <w:lang w:val="en-US"/>
        </w:rPr>
        <w:t>ase describes a mode of limited openness:</w:t>
      </w:r>
      <w:r w:rsidRPr="0017514F">
        <w:rPr>
          <w:lang w:val="en-US"/>
        </w:rPr>
        <w:t xml:space="preserve"> P</w:t>
      </w:r>
      <w:r w:rsidRPr="0017514F">
        <w:rPr>
          <w:lang w:val="en-US"/>
        </w:rPr>
        <w:t xml:space="preserve">artner selection is based on current trustful </w:t>
      </w:r>
      <w:r w:rsidRPr="0017514F">
        <w:rPr>
          <w:lang w:val="en-US"/>
        </w:rPr>
        <w:t xml:space="preserve">relationships; </w:t>
      </w:r>
      <w:r w:rsidRPr="0017514F">
        <w:rPr>
          <w:lang w:val="en-US"/>
        </w:rPr>
        <w:t xml:space="preserve">each partner </w:t>
      </w:r>
      <w:r>
        <w:rPr>
          <w:lang w:val="en-US"/>
        </w:rPr>
        <w:t>can</w:t>
      </w:r>
      <w:r w:rsidRPr="0017514F">
        <w:rPr>
          <w:lang w:val="en-US"/>
        </w:rPr>
        <w:t xml:space="preserve"> bring</w:t>
      </w:r>
      <w:r w:rsidRPr="0017514F">
        <w:rPr>
          <w:lang w:val="en-US"/>
        </w:rPr>
        <w:t xml:space="preserve"> </w:t>
      </w:r>
      <w:r w:rsidRPr="0017514F">
        <w:rPr>
          <w:lang w:val="en-US"/>
        </w:rPr>
        <w:t>other trustworthy actors into the partnership</w:t>
      </w:r>
    </w:p>
    <w:p w:rsidR="0017514F" w:rsidRPr="0017514F" w:rsidRDefault="0017514F" w:rsidP="0017514F">
      <w:pPr>
        <w:pStyle w:val="Listenabsatz"/>
        <w:numPr>
          <w:ilvl w:val="0"/>
          <w:numId w:val="13"/>
        </w:numPr>
        <w:spacing w:after="0"/>
        <w:rPr>
          <w:lang w:val="en-US"/>
        </w:rPr>
      </w:pPr>
      <w:r w:rsidRPr="0017514F">
        <w:rPr>
          <w:lang w:val="en-US"/>
        </w:rPr>
        <w:t>N</w:t>
      </w:r>
      <w:r w:rsidRPr="0017514F">
        <w:rPr>
          <w:lang w:val="en-US"/>
        </w:rPr>
        <w:t>etwork</w:t>
      </w:r>
      <w:r w:rsidRPr="0017514F">
        <w:rPr>
          <w:lang w:val="en-US"/>
        </w:rPr>
        <w:t xml:space="preserve"> </w:t>
      </w:r>
      <w:r w:rsidRPr="0017514F">
        <w:rPr>
          <w:lang w:val="en-US"/>
        </w:rPr>
        <w:t>has a limited number of partners</w:t>
      </w:r>
    </w:p>
    <w:sectPr w:rsidR="0017514F" w:rsidRPr="001751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DA6"/>
    <w:multiLevelType w:val="hybridMultilevel"/>
    <w:tmpl w:val="30AC9B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17D1"/>
    <w:multiLevelType w:val="hybridMultilevel"/>
    <w:tmpl w:val="B44AF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4ABB"/>
    <w:multiLevelType w:val="hybridMultilevel"/>
    <w:tmpl w:val="3C0AA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35712"/>
    <w:multiLevelType w:val="hybridMultilevel"/>
    <w:tmpl w:val="0D9ED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338D"/>
    <w:multiLevelType w:val="hybridMultilevel"/>
    <w:tmpl w:val="7660D59E"/>
    <w:lvl w:ilvl="0" w:tplc="38E645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37A7"/>
    <w:multiLevelType w:val="hybridMultilevel"/>
    <w:tmpl w:val="9CE6B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74225"/>
    <w:multiLevelType w:val="hybridMultilevel"/>
    <w:tmpl w:val="ACDE3CDE"/>
    <w:lvl w:ilvl="0" w:tplc="4EF21BA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5123A8"/>
    <w:multiLevelType w:val="hybridMultilevel"/>
    <w:tmpl w:val="3648C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21BA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D6D5F"/>
    <w:multiLevelType w:val="hybridMultilevel"/>
    <w:tmpl w:val="F7424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639A8"/>
    <w:multiLevelType w:val="hybridMultilevel"/>
    <w:tmpl w:val="618CA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F303F"/>
    <w:multiLevelType w:val="hybridMultilevel"/>
    <w:tmpl w:val="7B088954"/>
    <w:lvl w:ilvl="0" w:tplc="0407000F">
      <w:start w:val="1"/>
      <w:numFmt w:val="decimal"/>
      <w:lvlText w:val="%1."/>
      <w:lvlJc w:val="left"/>
      <w:pPr>
        <w:ind w:left="113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597651EA"/>
    <w:multiLevelType w:val="hybridMultilevel"/>
    <w:tmpl w:val="F1107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21BA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B0C1F"/>
    <w:multiLevelType w:val="hybridMultilevel"/>
    <w:tmpl w:val="8216E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E70D9"/>
    <w:multiLevelType w:val="hybridMultilevel"/>
    <w:tmpl w:val="89445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21BA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CD"/>
    <w:rsid w:val="00155E61"/>
    <w:rsid w:val="0017514F"/>
    <w:rsid w:val="001E3D24"/>
    <w:rsid w:val="00230DCD"/>
    <w:rsid w:val="003429AC"/>
    <w:rsid w:val="003C3426"/>
    <w:rsid w:val="003E19B8"/>
    <w:rsid w:val="00436A54"/>
    <w:rsid w:val="0063619B"/>
    <w:rsid w:val="0073134F"/>
    <w:rsid w:val="009D105A"/>
    <w:rsid w:val="00A52517"/>
    <w:rsid w:val="00BE4FE3"/>
    <w:rsid w:val="00DB6694"/>
    <w:rsid w:val="00EE5B02"/>
    <w:rsid w:val="00F4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E8B3"/>
  <w15:chartTrackingRefBased/>
  <w15:docId w15:val="{B73DDDAB-F061-49F0-87C4-93545D5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0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0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2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3">
    <w:name w:val="Grid Table 2 Accent 3"/>
    <w:basedOn w:val="NormaleTabelle"/>
    <w:uiPriority w:val="47"/>
    <w:rsid w:val="00230DC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2">
    <w:name w:val="Plain Table 2"/>
    <w:basedOn w:val="NormaleTabelle"/>
    <w:uiPriority w:val="42"/>
    <w:rsid w:val="00230D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23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Schulz</dc:creator>
  <cp:keywords/>
  <dc:description/>
  <cp:lastModifiedBy>Hannah Schulz</cp:lastModifiedBy>
  <cp:revision>6</cp:revision>
  <dcterms:created xsi:type="dcterms:W3CDTF">2018-11-06T07:12:00Z</dcterms:created>
  <dcterms:modified xsi:type="dcterms:W3CDTF">2018-11-06T07:38:00Z</dcterms:modified>
</cp:coreProperties>
</file>